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kinsoku w:val="0"/>
        <w:overflowPunct w:val="0"/>
        <w:jc w:val="left"/>
        <w:rPr>
          <w:rFonts w:hint="default" w:asciiTheme="minorEastAsia" w:hAnsiTheme="minorEastAsia" w:eastAsiaTheme="minorEastAsia"/>
          <w:b w:val="1"/>
        </w:rPr>
      </w:pPr>
      <w:r>
        <w:rPr>
          <w:rFonts w:hint="eastAsia" w:asciiTheme="minorEastAsia" w:hAnsiTheme="minorEastAsia" w:eastAsiaTheme="minorEastAsia"/>
          <w:b w:val="1"/>
        </w:rPr>
        <w:t>様式１</w:t>
      </w:r>
    </w:p>
    <w:p>
      <w:pPr>
        <w:pStyle w:val="15"/>
        <w:kinsoku w:val="0"/>
        <w:overflowPunct w:val="0"/>
        <w:jc w:val="right"/>
        <w:rPr>
          <w:rFonts w:hint="default" w:asciiTheme="minorEastAsia" w:hAnsiTheme="minorEastAsia" w:eastAsiaTheme="minorEastAsia"/>
          <w:b w:val="1"/>
        </w:rPr>
      </w:pPr>
    </w:p>
    <w:p>
      <w:pPr>
        <w:pStyle w:val="0"/>
        <w:tabs>
          <w:tab w:val="left" w:leader="none" w:pos="6804"/>
          <w:tab w:val="left" w:leader="none" w:pos="9212"/>
          <w:tab w:val="right" w:leader="none" w:pos="9418"/>
        </w:tabs>
        <w:kinsoku w:val="0"/>
        <w:overflowPunct w:val="0"/>
        <w:autoSpaceDE w:val="0"/>
        <w:autoSpaceDN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令和　　年　　月　　日</w:t>
      </w:r>
    </w:p>
    <w:p>
      <w:pPr>
        <w:pStyle w:val="0"/>
        <w:tabs>
          <w:tab w:val="left" w:leader="none" w:pos="7670"/>
          <w:tab w:val="right" w:leader="none" w:pos="9418"/>
        </w:tabs>
        <w:kinsoku w:val="0"/>
        <w:wordWrap w:val="0"/>
        <w:overflowPunct w:val="0"/>
        <w:autoSpaceDE w:val="0"/>
        <w:autoSpaceDN w:val="0"/>
        <w:jc w:val="left"/>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wordWrap w:val="0"/>
        <w:overflowPunct w:val="0"/>
        <w:autoSpaceDE w:val="0"/>
        <w:autoSpaceDN w:val="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（あて先）</w:t>
      </w:r>
    </w:p>
    <w:p>
      <w:pPr>
        <w:pStyle w:val="15"/>
        <w:kinsoku w:val="0"/>
        <w:overflowPunct w:val="0"/>
        <w:ind w:firstLine="245"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rPr>
        <w:t>発注者</w:t>
      </w:r>
      <w:r>
        <w:rPr>
          <w:rFonts w:hint="eastAsia" w:asciiTheme="minorEastAsia" w:hAnsiTheme="minorEastAsia" w:eastAsiaTheme="minorEastAsia"/>
          <w:color w:val="000000" w:themeColor="text1"/>
          <w:sz w:val="22"/>
        </w:rPr>
        <w:t>　○○○○○　</w:t>
      </w:r>
    </w:p>
    <w:p>
      <w:pPr>
        <w:pStyle w:val="0"/>
        <w:tabs>
          <w:tab w:val="left" w:leader="none" w:pos="7670"/>
          <w:tab w:val="right" w:leader="none" w:pos="9418"/>
        </w:tabs>
        <w:kinsoku w:val="0"/>
        <w:wordWrap w:val="0"/>
        <w:overflowPunct w:val="0"/>
        <w:autoSpaceDE w:val="0"/>
        <w:autoSpaceDN w:val="0"/>
        <w:jc w:val="left"/>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wordWrap w:val="0"/>
        <w:overflowPunct w:val="0"/>
        <w:autoSpaceDE w:val="0"/>
        <w:autoSpaceDN w:val="0"/>
        <w:jc w:val="left"/>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wordWrap w:val="0"/>
        <w:overflowPunct w:val="0"/>
        <w:autoSpaceDE w:val="0"/>
        <w:autoSpaceDN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落札候補者　○○○○○　印　</w:t>
      </w: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overflowPunct w:val="0"/>
        <w:autoSpaceDE w:val="0"/>
        <w:autoSpaceDN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配置予定技術者に係る配置不可通知書</w:t>
      </w: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p>
      <w:pPr>
        <w:pStyle w:val="15"/>
        <w:kinsoku w:val="0"/>
        <w:overflowPunct w:val="0"/>
        <w:ind w:firstLine="225"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令和　　年　　月　　日付け○○第　　号により落札候補者通知のありました下記の工事に係る配置予定技術者については、先に落札した他の工事においてすべて専任で配置され、当該工事に配置できなくなくなり、入札参加資格を満たせなくなりました。よって当該入札について無効の措置をと</w:t>
      </w:r>
      <w:r>
        <w:rPr>
          <w:rFonts w:hint="eastAsia" w:asciiTheme="minorEastAsia" w:hAnsiTheme="minorEastAsia" w:eastAsiaTheme="minorEastAsia"/>
          <w:sz w:val="22"/>
        </w:rPr>
        <w:t>られる</w:t>
      </w:r>
      <w:r>
        <w:rPr>
          <w:rFonts w:hint="eastAsia" w:asciiTheme="minorEastAsia" w:hAnsiTheme="minorEastAsia" w:eastAsiaTheme="minorEastAsia"/>
          <w:color w:val="000000" w:themeColor="text1"/>
          <w:sz w:val="22"/>
        </w:rPr>
        <w:t>よう通知します。</w:t>
      </w:r>
    </w:p>
    <w:p>
      <w:pPr>
        <w:pStyle w:val="15"/>
        <w:kinsoku w:val="0"/>
        <w:overflowPunct w:val="0"/>
        <w:ind w:firstLine="225"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なお、下記の内容については事実と相違ないことを誓約します。</w:t>
      </w:r>
    </w:p>
    <w:p>
      <w:pPr>
        <w:pStyle w:val="15"/>
        <w:kinsoku w:val="0"/>
        <w:overflowPunct w:val="0"/>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overflowPunct w:val="0"/>
        <w:autoSpaceDE w:val="0"/>
        <w:autoSpaceDN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w:t>
      </w: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　工事名</w:t>
      </w:r>
      <w:r>
        <w:rPr>
          <w:rFonts w:hint="eastAsia" w:asciiTheme="minorEastAsia" w:hAnsiTheme="minorEastAsia" w:eastAsiaTheme="minorEastAsia"/>
          <w:color w:val="000000" w:themeColor="text1"/>
          <w:sz w:val="22"/>
        </w:rPr>
        <w:t xml:space="preserve"> </w:t>
      </w: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　工事場所</w:t>
      </w: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　落札候補者通知日　　令和　　年　　月　　日</w:t>
      </w: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　配置予定技術者の専任の配置不可の状況（先に落札した他の工事の状況）</w:t>
      </w: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3032"/>
        <w:gridCol w:w="2213"/>
        <w:gridCol w:w="1985"/>
      </w:tblGrid>
      <w:tr>
        <w:trPr/>
        <w:tc>
          <w:tcPr>
            <w:tcW w:w="2268" w:type="dxa"/>
            <w:vAlign w:val="center"/>
          </w:tcPr>
          <w:p>
            <w:pPr>
              <w:pStyle w:val="0"/>
              <w:tabs>
                <w:tab w:val="left" w:leader="none" w:pos="7670"/>
                <w:tab w:val="right" w:leader="none" w:pos="9418"/>
              </w:tabs>
              <w:kinsoku w:val="0"/>
              <w:overflowPunct w:val="0"/>
              <w:autoSpaceDE w:val="0"/>
              <w:autoSpaceDN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配置予定技術者</w:t>
            </w:r>
          </w:p>
          <w:p>
            <w:pPr>
              <w:pStyle w:val="0"/>
              <w:tabs>
                <w:tab w:val="left" w:leader="none" w:pos="7670"/>
                <w:tab w:val="right" w:leader="none" w:pos="9418"/>
              </w:tabs>
              <w:kinsoku w:val="0"/>
              <w:overflowPunct w:val="0"/>
              <w:autoSpaceDE w:val="0"/>
              <w:autoSpaceDN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氏　名</w:t>
            </w:r>
          </w:p>
        </w:tc>
        <w:tc>
          <w:tcPr>
            <w:tcW w:w="3032" w:type="dxa"/>
            <w:vAlign w:val="center"/>
          </w:tcPr>
          <w:p>
            <w:pPr>
              <w:pStyle w:val="0"/>
              <w:tabs>
                <w:tab w:val="left" w:leader="none" w:pos="7670"/>
                <w:tab w:val="right" w:leader="none" w:pos="9418"/>
              </w:tabs>
              <w:kinsoku w:val="0"/>
              <w:overflowPunct w:val="0"/>
              <w:autoSpaceDE w:val="0"/>
              <w:autoSpaceDN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工事名</w:t>
            </w:r>
          </w:p>
        </w:tc>
        <w:tc>
          <w:tcPr>
            <w:tcW w:w="2213" w:type="dxa"/>
            <w:vAlign w:val="center"/>
          </w:tcPr>
          <w:p>
            <w:pPr>
              <w:pStyle w:val="0"/>
              <w:tabs>
                <w:tab w:val="left" w:leader="none" w:pos="7670"/>
                <w:tab w:val="right" w:leader="none" w:pos="9418"/>
              </w:tabs>
              <w:kinsoku w:val="0"/>
              <w:overflowPunct w:val="0"/>
              <w:autoSpaceDE w:val="0"/>
              <w:autoSpaceDN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発注機関名</w:t>
            </w:r>
          </w:p>
        </w:tc>
        <w:tc>
          <w:tcPr>
            <w:tcW w:w="1985" w:type="dxa"/>
            <w:vAlign w:val="center"/>
          </w:tcPr>
          <w:p>
            <w:pPr>
              <w:pStyle w:val="0"/>
              <w:tabs>
                <w:tab w:val="left" w:leader="none" w:pos="7670"/>
                <w:tab w:val="right" w:leader="none" w:pos="9418"/>
              </w:tabs>
              <w:kinsoku w:val="0"/>
              <w:overflowPunct w:val="0"/>
              <w:autoSpaceDE w:val="0"/>
              <w:autoSpaceDN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落札候補者</w:t>
            </w:r>
          </w:p>
          <w:p>
            <w:pPr>
              <w:pStyle w:val="0"/>
              <w:tabs>
                <w:tab w:val="left" w:leader="none" w:pos="7670"/>
                <w:tab w:val="right" w:leader="none" w:pos="9418"/>
              </w:tabs>
              <w:kinsoku w:val="0"/>
              <w:overflowPunct w:val="0"/>
              <w:autoSpaceDE w:val="0"/>
              <w:autoSpaceDN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通知日</w:t>
            </w:r>
          </w:p>
        </w:tc>
      </w:tr>
      <w:tr>
        <w:trPr/>
        <w:tc>
          <w:tcPr>
            <w:tcW w:w="2268"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c>
          <w:tcPr>
            <w:tcW w:w="3032"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c>
          <w:tcPr>
            <w:tcW w:w="2213"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c>
          <w:tcPr>
            <w:tcW w:w="1985"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r>
      <w:tr>
        <w:trPr/>
        <w:tc>
          <w:tcPr>
            <w:tcW w:w="2268"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c>
          <w:tcPr>
            <w:tcW w:w="3032"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c>
          <w:tcPr>
            <w:tcW w:w="2213"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c>
          <w:tcPr>
            <w:tcW w:w="1985"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r>
      <w:tr>
        <w:trPr/>
        <w:tc>
          <w:tcPr>
            <w:tcW w:w="2268"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c>
          <w:tcPr>
            <w:tcW w:w="3032"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c>
          <w:tcPr>
            <w:tcW w:w="2213"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c>
          <w:tcPr>
            <w:tcW w:w="1985" w:type="dxa"/>
            <w:vAlign w:val="top"/>
          </w:tcPr>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tc>
      </w:tr>
    </w:tbl>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overflowPunct w:val="0"/>
        <w:autoSpaceDE w:val="0"/>
        <w:autoSpaceDN w:val="0"/>
        <w:ind w:firstLine="449" w:firstLine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配置予定技術者は、技術資料に記載したすべての候補者の状況について記載すること。</w:t>
      </w:r>
    </w:p>
    <w:p>
      <w:pPr>
        <w:pStyle w:val="0"/>
        <w:tabs>
          <w:tab w:val="left" w:leader="none" w:pos="7670"/>
          <w:tab w:val="right" w:leader="none" w:pos="9418"/>
        </w:tabs>
        <w:kinsoku w:val="0"/>
        <w:overflowPunct w:val="0"/>
        <w:autoSpaceDE w:val="0"/>
        <w:autoSpaceDN w:val="0"/>
        <w:ind w:firstLine="449" w:firstLine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また、他の工事の落札候補者通知書の写しを配置予定技術者ごとに添付すること。</w:t>
      </w:r>
    </w:p>
    <w:p>
      <w:pPr>
        <w:pStyle w:val="0"/>
        <w:tabs>
          <w:tab w:val="left" w:leader="none" w:pos="7670"/>
          <w:tab w:val="right" w:leader="none" w:pos="9418"/>
        </w:tabs>
        <w:kinsoku w:val="0"/>
        <w:overflowPunct w:val="0"/>
        <w:autoSpaceDE w:val="0"/>
        <w:autoSpaceDN w:val="0"/>
        <w:rPr>
          <w:rFonts w:hint="default" w:asciiTheme="minorEastAsia" w:hAnsiTheme="minorEastAsia" w:eastAsiaTheme="minorEastAsia"/>
          <w:color w:val="000000" w:themeColor="text1"/>
          <w:sz w:val="22"/>
        </w:rPr>
      </w:pPr>
    </w:p>
    <w:p>
      <w:pPr>
        <w:pStyle w:val="0"/>
        <w:tabs>
          <w:tab w:val="left" w:leader="none" w:pos="7670"/>
          <w:tab w:val="right" w:leader="none" w:pos="9418"/>
        </w:tabs>
        <w:kinsoku w:val="0"/>
        <w:overflowPunct w:val="0"/>
        <w:autoSpaceDE w:val="0"/>
        <w:autoSpaceDN w:val="0"/>
        <w:ind w:left="224" w:hanging="224" w:hangingChars="100"/>
        <w:rPr>
          <w:rFonts w:hint="default" w:asciiTheme="minorEastAsia" w:hAnsiTheme="minorEastAsia" w:eastAsiaTheme="minorEastAsia"/>
          <w:color w:val="000000" w:themeColor="text1"/>
          <w:sz w:val="22"/>
          <w:u w:val="wavyHeavy" w:color="FF00FF"/>
        </w:rPr>
      </w:pPr>
      <w:r>
        <w:rPr>
          <w:rFonts w:hint="eastAsia" w:asciiTheme="minorEastAsia" w:hAnsiTheme="minorEastAsia" w:eastAsiaTheme="minorEastAsia"/>
          <w:color w:val="000000" w:themeColor="text1"/>
          <w:sz w:val="22"/>
          <w:u w:val="wavyHeavy" w:color="FF00FF"/>
        </w:rPr>
        <w:t>※　この取扱いは、春日部市</w:t>
      </w:r>
      <w:bookmarkStart w:id="0" w:name="_GoBack"/>
      <w:bookmarkEnd w:id="0"/>
      <w:r>
        <w:rPr>
          <w:rFonts w:hint="eastAsia" w:asciiTheme="minorEastAsia" w:hAnsiTheme="minorEastAsia" w:eastAsiaTheme="minorEastAsia"/>
          <w:color w:val="000000" w:themeColor="text1"/>
          <w:sz w:val="22"/>
          <w:u w:val="wavyHeavy" w:color="FF00FF"/>
        </w:rPr>
        <w:t>が施行する総合評価方式にのみ適用するものであり、それ以外の入札では応札後の辞退はできません。</w:t>
      </w:r>
    </w:p>
    <w:p>
      <w:pPr>
        <w:pStyle w:val="0"/>
        <w:tabs>
          <w:tab w:val="left" w:leader="none" w:pos="7670"/>
          <w:tab w:val="right" w:leader="none" w:pos="9418"/>
        </w:tabs>
        <w:kinsoku w:val="0"/>
        <w:overflowPunct w:val="0"/>
        <w:autoSpaceDE w:val="0"/>
        <w:autoSpaceDN w:val="0"/>
        <w:ind w:left="214" w:leftChars="100" w:firstLine="224" w:firstLineChars="100"/>
        <w:rPr>
          <w:rFonts w:hint="default" w:asciiTheme="minorEastAsia" w:hAnsiTheme="minorEastAsia" w:eastAsiaTheme="minorEastAsia"/>
          <w:strike w:val="1"/>
          <w:color w:val="000000" w:themeColor="text1"/>
          <w:sz w:val="22"/>
          <w:u w:val="wavyHeavy" w:color="FF00FF"/>
        </w:rPr>
      </w:pPr>
      <w:r>
        <w:rPr>
          <w:rFonts w:hint="eastAsia" w:asciiTheme="minorEastAsia" w:hAnsiTheme="minorEastAsia" w:eastAsiaTheme="minorEastAsia"/>
          <w:color w:val="000000" w:themeColor="text1"/>
          <w:sz w:val="22"/>
          <w:u w:val="wavyHeavy" w:color="FF00FF"/>
        </w:rPr>
        <w:t>落札候補者通知日の翌日午後５時（閉庁日は除く）までに発注者側契約担当者に通知することにより、当該入札を無効とします。ただし、落札候補者通知書の受理が午後３時以降の場合は、２日後の午後５時までとします。</w:t>
      </w:r>
    </w:p>
    <w:p>
      <w:pPr>
        <w:pStyle w:val="0"/>
        <w:tabs>
          <w:tab w:val="left" w:leader="none" w:pos="7670"/>
          <w:tab w:val="right" w:leader="none" w:pos="9418"/>
        </w:tabs>
        <w:kinsoku w:val="0"/>
        <w:overflowPunct w:val="0"/>
        <w:autoSpaceDE w:val="0"/>
        <w:autoSpaceDN w:val="0"/>
        <w:ind w:left="214" w:leftChars="100" w:firstLine="224" w:firstLineChars="100"/>
        <w:rPr>
          <w:rFonts w:hint="default" w:asciiTheme="minorEastAsia" w:hAnsiTheme="minorEastAsia" w:eastAsiaTheme="minorEastAsia"/>
          <w:color w:val="000000" w:themeColor="text1"/>
          <w:sz w:val="22"/>
          <w:u w:val="wavyHeavy" w:color="FF00FF"/>
        </w:rPr>
      </w:pPr>
      <w:r>
        <w:rPr>
          <w:rFonts w:hint="eastAsia" w:asciiTheme="minorEastAsia" w:hAnsiTheme="minorEastAsia" w:eastAsiaTheme="minorEastAsia"/>
          <w:color w:val="000000" w:themeColor="text1"/>
          <w:sz w:val="22"/>
          <w:u w:val="wavyHeavy" w:color="FF00FF"/>
        </w:rPr>
        <w:t>期限後の通知書は受理しません。また、落札候補者となっていない場合、この通知書は提出できません。他の建設工事と二重に落札した場合などの全責任は落札候補者が負うものとします。</w:t>
      </w:r>
    </w:p>
    <w:p>
      <w:pPr>
        <w:pStyle w:val="0"/>
        <w:tabs>
          <w:tab w:val="left" w:leader="none" w:pos="7670"/>
          <w:tab w:val="right" w:leader="none" w:pos="9418"/>
        </w:tabs>
        <w:kinsoku w:val="0"/>
        <w:overflowPunct w:val="0"/>
        <w:autoSpaceDE w:val="0"/>
        <w:autoSpaceDN w:val="0"/>
        <w:ind w:left="214" w:leftChars="100" w:firstLine="224" w:firstLineChars="100"/>
        <w:rPr>
          <w:rFonts w:hint="default" w:asciiTheme="minorEastAsia" w:hAnsiTheme="minorEastAsia" w:eastAsiaTheme="minorEastAsia"/>
          <w:color w:val="000000" w:themeColor="text1"/>
          <w:sz w:val="22"/>
          <w:u w:val="wavyHeavy" w:color="FF00FF"/>
        </w:rPr>
      </w:pPr>
      <w:r>
        <w:rPr>
          <w:rFonts w:hint="eastAsia" w:asciiTheme="minorEastAsia" w:hAnsiTheme="minorEastAsia" w:eastAsiaTheme="minorEastAsia"/>
          <w:color w:val="000000" w:themeColor="text1"/>
          <w:sz w:val="22"/>
          <w:u w:val="wavyHeavy" w:color="FF00FF"/>
        </w:rPr>
        <w:t>通知期限が短いため、電子メール、</w:t>
      </w:r>
      <w:r>
        <w:rPr>
          <w:rFonts w:hint="eastAsia" w:asciiTheme="minorEastAsia" w:hAnsiTheme="minorEastAsia" w:eastAsiaTheme="minorEastAsia"/>
          <w:color w:val="000000" w:themeColor="text1"/>
          <w:sz w:val="22"/>
          <w:u w:val="wavyHeavy" w:color="FF00FF"/>
        </w:rPr>
        <w:t>FAX</w:t>
      </w:r>
      <w:r>
        <w:rPr>
          <w:rFonts w:hint="eastAsia" w:asciiTheme="minorEastAsia" w:hAnsiTheme="minorEastAsia" w:eastAsiaTheme="minorEastAsia"/>
          <w:color w:val="000000" w:themeColor="text1"/>
          <w:sz w:val="22"/>
          <w:u w:val="wavyHeavy" w:color="FF00FF"/>
        </w:rPr>
        <w:t>でも仮提出を認めますが、後日押印のある正本を提出してください。なお、電子メールや</w:t>
      </w:r>
      <w:r>
        <w:rPr>
          <w:rFonts w:hint="eastAsia" w:asciiTheme="minorEastAsia" w:hAnsiTheme="minorEastAsia" w:eastAsiaTheme="minorEastAsia"/>
          <w:color w:val="000000" w:themeColor="text1"/>
          <w:sz w:val="22"/>
          <w:u w:val="wavyHeavy" w:color="FF00FF"/>
        </w:rPr>
        <w:t>FAX</w:t>
      </w:r>
      <w:r>
        <w:rPr>
          <w:rFonts w:hint="eastAsia" w:asciiTheme="minorEastAsia" w:hAnsiTheme="minorEastAsia" w:eastAsiaTheme="minorEastAsia"/>
          <w:color w:val="000000" w:themeColor="text1"/>
          <w:sz w:val="22"/>
          <w:u w:val="wavyHeavy" w:color="FF00FF"/>
        </w:rPr>
        <w:t>で仮提出した際は、必ず契約担当者に連絡を入れてください。</w:t>
      </w:r>
    </w:p>
    <w:p>
      <w:pPr>
        <w:pStyle w:val="0"/>
        <w:widowControl w:val="1"/>
        <w:jc w:val="left"/>
        <w:rPr>
          <w:rFonts w:hint="eastAsia" w:ascii="HG丸ｺﾞｼｯｸM-PRO" w:hAnsi="HG丸ｺﾞｼｯｸM-PRO" w:eastAsia="HG丸ｺﾞｼｯｸM-PRO"/>
          <w:b w:val="1"/>
          <w:color w:val="000000" w:themeColor="text1"/>
          <w:spacing w:val="-7"/>
          <w:kern w:val="0"/>
          <w:sz w:val="24"/>
        </w:rPr>
      </w:pPr>
    </w:p>
    <w:sectPr>
      <w:headerReference r:id="rId5" w:type="default"/>
      <w:footerReference r:id="rId6" w:type="even"/>
      <w:footerReference r:id="rId7" w:type="default"/>
      <w:type w:val="continuous"/>
      <w:pgSz w:w="11907" w:h="16839"/>
      <w:pgMar w:top="851" w:right="1276" w:bottom="737" w:left="1418" w:header="454" w:footer="0" w:gutter="0"/>
      <w:pgNumType w:start="1"/>
      <w:cols w:space="720"/>
      <w:noEndnote w:val="1"/>
      <w:textDirection w:val="lrTb"/>
      <w:docGrid w:type="linesAndChars" w:linePitch="287" w:charSpace="8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w:panose1 w:val="00000000000000000000"/>
    <w:charset w:val="80"/>
    <w:family w:val="swiss"/>
    <w:notTrueType/>
    <w:pitch w:val="fixed"/>
    <w:sig w:usb0="00000000" w:usb1="00000000" w:usb2="00000000" w:usb3="00000000" w:csb0="00000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r>
      <w:rPr>
        <w:rFonts w:hint="eastAsia"/>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autoHyphenation/>
  <w:doNotHyphenateCaps/>
  <w:drawingGridHorizontalSpacing w:val="107"/>
  <w:drawingGridVerticalSpacing w:val="287"/>
  <w:displayHorizontalDrawingGridEvery w:val="0"/>
  <w:doNotShadeFormData/>
  <w:characterSpacingControl w:val="compressPunctuation"/>
  <w:strictFirstAndLastChars/>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1"/>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38"/>
    <w:uiPriority w:val="0"/>
    <w:pPr>
      <w:widowControl w:val="0"/>
      <w:wordWrap w:val="0"/>
      <w:autoSpaceDE w:val="0"/>
      <w:autoSpaceDN w:val="0"/>
      <w:adjustRightInd w:val="0"/>
      <w:spacing w:line="336" w:lineRule="exact"/>
      <w:jc w:val="both"/>
    </w:pPr>
    <w:rPr>
      <w:rFonts w:eastAsia="HG丸ｺﾞｼｯｸM-PRO"/>
      <w:spacing w:val="1"/>
      <w:sz w:val="24"/>
    </w:rPr>
  </w:style>
  <w:style w:type="paragraph" w:styleId="16">
    <w:name w:val="Note Heading"/>
    <w:basedOn w:val="0"/>
    <w:next w:val="0"/>
    <w:link w:val="26"/>
    <w:uiPriority w:val="0"/>
    <w:pPr>
      <w:jc w:val="center"/>
    </w:pPr>
    <w:rPr>
      <w:rFonts w:ascii="HG丸ｺﾞｼｯｸM-PRO" w:hAnsi="HG丸ｺﾞｼｯｸM-PRO" w:eastAsia="HG丸ｺﾞｼｯｸM-PRO"/>
      <w:kern w:val="0"/>
      <w:sz w:val="22"/>
    </w:rPr>
  </w:style>
  <w:style w:type="paragraph" w:styleId="17">
    <w:name w:val="Closing"/>
    <w:basedOn w:val="0"/>
    <w:next w:val="17"/>
    <w:link w:val="25"/>
    <w:uiPriority w:val="0"/>
    <w:pPr>
      <w:jc w:val="right"/>
    </w:pPr>
    <w:rPr>
      <w:rFonts w:ascii="HG丸ｺﾞｼｯｸM-PRO" w:hAnsi="HG丸ｺﾞｼｯｸM-PRO" w:eastAsia="HG丸ｺﾞｼｯｸM-PRO"/>
      <w:kern w:val="0"/>
      <w:sz w:val="22"/>
    </w:rPr>
  </w:style>
  <w:style w:type="character" w:styleId="18">
    <w:name w:val="Hyperlink"/>
    <w:next w:val="18"/>
    <w:link w:val="0"/>
    <w:uiPriority w:val="0"/>
    <w:rPr>
      <w:color w:val="0000FF"/>
      <w:u w:val="single" w:color="auto"/>
    </w:rPr>
  </w:style>
  <w:style w:type="character" w:styleId="19">
    <w:name w:val="FollowedHyperlink"/>
    <w:next w:val="19"/>
    <w:link w:val="0"/>
    <w:uiPriority w:val="0"/>
    <w:rPr>
      <w:color w:val="800080"/>
      <w:u w:val="single" w:color="auto"/>
    </w:rPr>
  </w:style>
  <w:style w:type="paragraph" w:styleId="20">
    <w:name w:val="footer"/>
    <w:basedOn w:val="0"/>
    <w:next w:val="20"/>
    <w:link w:val="43"/>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24"/>
    <w:uiPriority w:val="0"/>
    <w:pPr>
      <w:tabs>
        <w:tab w:val="center" w:leader="none" w:pos="4252"/>
        <w:tab w:val="right" w:leader="none" w:pos="8504"/>
      </w:tabs>
      <w:snapToGrid w:val="0"/>
    </w:pPr>
  </w:style>
  <w:style w:type="paragraph" w:styleId="23">
    <w:name w:val="List Paragraph"/>
    <w:basedOn w:val="0"/>
    <w:next w:val="23"/>
    <w:link w:val="0"/>
    <w:uiPriority w:val="0"/>
    <w:qFormat/>
    <w:pPr>
      <w:ind w:left="840" w:leftChars="400"/>
    </w:pPr>
  </w:style>
  <w:style w:type="character" w:styleId="24" w:customStyle="1">
    <w:name w:val="ヘッダー (文字)"/>
    <w:next w:val="24"/>
    <w:link w:val="22"/>
    <w:uiPriority w:val="0"/>
    <w:rPr>
      <w:kern w:val="2"/>
      <w:sz w:val="21"/>
    </w:rPr>
  </w:style>
  <w:style w:type="character" w:styleId="25" w:customStyle="1">
    <w:name w:val="結語 (文字)"/>
    <w:next w:val="25"/>
    <w:link w:val="17"/>
    <w:uiPriority w:val="0"/>
    <w:rPr>
      <w:rFonts w:ascii="HG丸ｺﾞｼｯｸM-PRO" w:hAnsi="HG丸ｺﾞｼｯｸM-PRO" w:eastAsia="HG丸ｺﾞｼｯｸM-PRO"/>
      <w:sz w:val="22"/>
    </w:rPr>
  </w:style>
  <w:style w:type="character" w:styleId="26" w:customStyle="1">
    <w:name w:val="記 (文字)"/>
    <w:next w:val="26"/>
    <w:link w:val="16"/>
    <w:uiPriority w:val="0"/>
    <w:rPr>
      <w:rFonts w:ascii="HG丸ｺﾞｼｯｸM-PRO" w:hAnsi="HG丸ｺﾞｼｯｸM-PRO" w:eastAsia="HG丸ｺﾞｼｯｸM-PRO"/>
      <w:sz w:val="22"/>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name w:val="Date"/>
    <w:basedOn w:val="0"/>
    <w:next w:val="0"/>
    <w:link w:val="29"/>
    <w:uiPriority w:val="0"/>
  </w:style>
  <w:style w:type="character" w:styleId="29" w:customStyle="1">
    <w:name w:val="日付 (文字)"/>
    <w:next w:val="29"/>
    <w:link w:val="28"/>
    <w:uiPriority w:val="0"/>
    <w:rPr>
      <w:kern w:val="2"/>
      <w:sz w:val="21"/>
    </w:rPr>
  </w:style>
  <w:style w:type="character" w:styleId="30">
    <w:name w:val="Strong"/>
    <w:next w:val="30"/>
    <w:link w:val="0"/>
    <w:uiPriority w:val="0"/>
    <w:qFormat/>
    <w:rPr>
      <w:b w:val="1"/>
    </w:rPr>
  </w:style>
  <w:style w:type="character" w:styleId="31" w:customStyle="1">
    <w:name w:val="見出し 1 (文字)"/>
    <w:next w:val="31"/>
    <w:link w:val="1"/>
    <w:uiPriority w:val="0"/>
    <w:rPr>
      <w:rFonts w:ascii="Arial" w:hAnsi="Arial" w:eastAsia="ＭＳ ゴシック"/>
      <w:kern w:val="2"/>
      <w:sz w:val="24"/>
    </w:rPr>
  </w:style>
  <w:style w:type="paragraph" w:styleId="32" w:customStyle="1">
    <w:name w:val="Default"/>
    <w:next w:val="32"/>
    <w:link w:val="0"/>
    <w:uiPriority w:val="0"/>
    <w:pPr>
      <w:widowControl w:val="0"/>
      <w:autoSpaceDE w:val="0"/>
      <w:autoSpaceDN w:val="0"/>
      <w:adjustRightInd w:val="0"/>
    </w:pPr>
    <w:rPr>
      <w:rFonts w:ascii="ＭＳ....." w:hAnsi="ＭＳ....." w:eastAsia="ＭＳ....."/>
      <w:color w:val="000000"/>
      <w:sz w:val="24"/>
    </w:rPr>
  </w:style>
  <w:style w:type="paragraph" w:styleId="33">
    <w:name w:val="Balloon Text"/>
    <w:basedOn w:val="0"/>
    <w:next w:val="33"/>
    <w:link w:val="34"/>
    <w:uiPriority w:val="0"/>
    <w:semiHidden/>
    <w:rPr>
      <w:rFonts w:ascii="Arial" w:hAnsi="Arial" w:eastAsia="ＭＳ ゴシック"/>
      <w:sz w:val="18"/>
    </w:rPr>
  </w:style>
  <w:style w:type="character" w:styleId="34" w:customStyle="1">
    <w:name w:val="吹き出し (文字)"/>
    <w:next w:val="34"/>
    <w:link w:val="33"/>
    <w:uiPriority w:val="0"/>
    <w:rPr>
      <w:rFonts w:ascii="Arial" w:hAnsi="Arial" w:eastAsia="ＭＳ ゴシック"/>
      <w:kern w:val="2"/>
      <w:sz w:val="18"/>
    </w:rPr>
  </w:style>
  <w:style w:type="paragraph" w:styleId="35" w:customStyle="1">
    <w:name w:val="スタイル 一太郎 + 左揃え 段落後 :  4 pt 行間 :  1 行"/>
    <w:basedOn w:val="15"/>
    <w:next w:val="35"/>
    <w:link w:val="0"/>
    <w:uiPriority w:val="0"/>
    <w:pPr>
      <w:spacing w:after="80" w:afterLines="0" w:afterAutospacing="0" w:line="240" w:lineRule="auto"/>
      <w:ind w:firstLine="100" w:firstLineChars="100"/>
      <w:jc w:val="left"/>
    </w:pPr>
    <w:rPr>
      <w:rFonts w:ascii="ＭＳ 明朝" w:hAnsi="ＭＳ 明朝" w:eastAsia="ＭＳ 明朝"/>
    </w:rPr>
  </w:style>
  <w:style w:type="paragraph" w:styleId="36" w:customStyle="1">
    <w:name w:val="スタイル1"/>
    <w:basedOn w:val="15"/>
    <w:next w:val="36"/>
    <w:link w:val="39"/>
    <w:uiPriority w:val="0"/>
    <w:qFormat/>
    <w:pPr>
      <w:wordWrap w:val="1"/>
      <w:spacing w:line="360" w:lineRule="exact"/>
      <w:ind w:left="100" w:leftChars="100" w:firstLine="100" w:firstLineChars="100"/>
      <w:jc w:val="left"/>
    </w:pPr>
    <w:rPr>
      <w:rFonts w:ascii="ＭＳ 明朝" w:hAnsi="ＭＳ 明朝" w:eastAsia="ＭＳ 明朝"/>
    </w:rPr>
  </w:style>
  <w:style w:type="paragraph" w:styleId="37" w:customStyle="1">
    <w:name w:val="スタイル2（箇条書き）"/>
    <w:basedOn w:val="15"/>
    <w:next w:val="37"/>
    <w:link w:val="41"/>
    <w:uiPriority w:val="0"/>
    <w:qFormat/>
    <w:pPr>
      <w:wordWrap w:val="1"/>
      <w:spacing w:line="360" w:lineRule="exact"/>
      <w:ind w:left="300" w:leftChars="200" w:hanging="100" w:hangingChars="100"/>
      <w:jc w:val="left"/>
    </w:pPr>
    <w:rPr>
      <w:rFonts w:ascii="ＭＳ 明朝" w:hAnsi="ＭＳ 明朝" w:eastAsia="ＭＳ 明朝"/>
    </w:rPr>
  </w:style>
  <w:style w:type="character" w:styleId="38" w:customStyle="1">
    <w:name w:val="一太郎 (文字)"/>
    <w:next w:val="38"/>
    <w:link w:val="15"/>
    <w:uiPriority w:val="0"/>
    <w:rPr>
      <w:rFonts w:eastAsia="HG丸ｺﾞｼｯｸM-PRO"/>
      <w:spacing w:val="1"/>
      <w:sz w:val="24"/>
    </w:rPr>
  </w:style>
  <w:style w:type="character" w:styleId="39" w:customStyle="1">
    <w:name w:val="スタイル1 (文字)"/>
    <w:next w:val="39"/>
    <w:link w:val="36"/>
    <w:uiPriority w:val="0"/>
    <w:rPr>
      <w:rFonts w:ascii="ＭＳ 明朝" w:hAnsi="ＭＳ 明朝"/>
      <w:spacing w:val="1"/>
      <w:sz w:val="24"/>
    </w:rPr>
  </w:style>
  <w:style w:type="paragraph" w:styleId="40" w:customStyle="1">
    <w:name w:val="スタイル3（箇条書きの改段落）"/>
    <w:basedOn w:val="15"/>
    <w:next w:val="40"/>
    <w:link w:val="42"/>
    <w:uiPriority w:val="0"/>
    <w:qFormat/>
    <w:pPr>
      <w:wordWrap w:val="1"/>
      <w:spacing w:line="360" w:lineRule="exact"/>
      <w:ind w:left="300" w:leftChars="300" w:firstLine="100" w:firstLineChars="100"/>
      <w:jc w:val="left"/>
    </w:pPr>
    <w:rPr>
      <w:rFonts w:ascii="ＭＳ 明朝" w:hAnsi="ＭＳ 明朝" w:eastAsia="ＭＳ 明朝"/>
    </w:rPr>
  </w:style>
  <w:style w:type="character" w:styleId="41" w:customStyle="1">
    <w:name w:val="スタイル2（箇条書き） (文字)"/>
    <w:next w:val="41"/>
    <w:link w:val="37"/>
    <w:uiPriority w:val="0"/>
    <w:rPr>
      <w:rFonts w:ascii="ＭＳ 明朝" w:hAnsi="ＭＳ 明朝"/>
      <w:spacing w:val="1"/>
      <w:sz w:val="24"/>
    </w:rPr>
  </w:style>
  <w:style w:type="character" w:styleId="42" w:customStyle="1">
    <w:name w:val="スタイル3（箇条書きの改段落） (文字)"/>
    <w:next w:val="42"/>
    <w:link w:val="40"/>
    <w:uiPriority w:val="0"/>
    <w:rPr>
      <w:rFonts w:ascii="ＭＳ 明朝" w:hAnsi="ＭＳ 明朝"/>
      <w:spacing w:val="1"/>
      <w:sz w:val="24"/>
    </w:rPr>
  </w:style>
  <w:style w:type="character" w:styleId="43" w:customStyle="1">
    <w:name w:val="フッター (文字)"/>
    <w:next w:val="43"/>
    <w:link w:val="20"/>
    <w:uiPriority w:val="0"/>
    <w:rPr>
      <w:kern w:val="2"/>
      <w:sz w:val="21"/>
    </w:rPr>
  </w:style>
  <w:style w:type="character" w:styleId="44">
    <w:name w:val="annotation reference"/>
    <w:next w:val="44"/>
    <w:link w:val="0"/>
    <w:uiPriority w:val="0"/>
    <w:semiHidden/>
    <w:rPr>
      <w:sz w:val="18"/>
    </w:rPr>
  </w:style>
  <w:style w:type="paragraph" w:styleId="45">
    <w:name w:val="annotation text"/>
    <w:basedOn w:val="0"/>
    <w:next w:val="45"/>
    <w:link w:val="46"/>
    <w:uiPriority w:val="0"/>
    <w:semiHidden/>
    <w:pPr>
      <w:jc w:val="left"/>
    </w:pPr>
  </w:style>
  <w:style w:type="character" w:styleId="46" w:customStyle="1">
    <w:name w:val="コメント文字列 (文字)"/>
    <w:basedOn w:val="10"/>
    <w:next w:val="46"/>
    <w:link w:val="45"/>
    <w:uiPriority w:val="0"/>
    <w:rPr>
      <w:kern w:val="2"/>
      <w:sz w:val="21"/>
    </w:rPr>
  </w:style>
  <w:style w:type="paragraph" w:styleId="47">
    <w:name w:val="annotation subject"/>
    <w:basedOn w:val="45"/>
    <w:next w:val="45"/>
    <w:link w:val="48"/>
    <w:uiPriority w:val="0"/>
    <w:semiHidden/>
    <w:rPr>
      <w:b w:val="1"/>
    </w:rPr>
  </w:style>
  <w:style w:type="character" w:styleId="48" w:customStyle="1">
    <w:name w:val="コメント内容 (文字)"/>
    <w:basedOn w:val="46"/>
    <w:next w:val="48"/>
    <w:link w:val="47"/>
    <w:uiPriority w:val="0"/>
    <w:rPr>
      <w:b w:val="1"/>
      <w:kern w:val="2"/>
      <w:sz w:val="21"/>
    </w:rPr>
  </w:style>
  <w:style w:type="paragraph" w:styleId="49">
    <w:name w:val="No Spacing"/>
    <w:next w:val="49"/>
    <w:link w:val="0"/>
    <w:uiPriority w:val="0"/>
    <w:qFormat/>
    <w:pPr>
      <w:widowControl w:val="0"/>
      <w:jc w:val="both"/>
    </w:pPr>
    <w:rPr>
      <w:kern w:val="2"/>
      <w:sz w:val="21"/>
    </w:rPr>
  </w:style>
  <w:style w:type="paragraph" w:styleId="50">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51">
    <w:name w:val="endnote text"/>
    <w:basedOn w:val="0"/>
    <w:next w:val="51"/>
    <w:link w:val="52"/>
    <w:uiPriority w:val="0"/>
    <w:semiHidden/>
    <w:pPr>
      <w:snapToGrid w:val="0"/>
      <w:jc w:val="left"/>
    </w:pPr>
  </w:style>
  <w:style w:type="character" w:styleId="52" w:customStyle="1">
    <w:name w:val="文末脚注文字列 (文字)"/>
    <w:basedOn w:val="10"/>
    <w:next w:val="52"/>
    <w:link w:val="51"/>
    <w:uiPriority w:val="0"/>
    <w:rPr>
      <w:kern w:val="2"/>
      <w:sz w:val="21"/>
    </w:rPr>
  </w:style>
  <w:style w:type="character" w:styleId="53">
    <w:name w:val="endnote reference"/>
    <w:basedOn w:val="10"/>
    <w:next w:val="53"/>
    <w:link w:val="0"/>
    <w:uiPriority w:val="0"/>
    <w:semiHidden/>
    <w:rPr>
      <w:vertAlign w:val="superscript"/>
    </w:rPr>
  </w:style>
  <w:style w:type="paragraph" w:styleId="54">
    <w:name w:val="toc 1"/>
    <w:basedOn w:val="0"/>
    <w:next w:val="0"/>
    <w:link w:val="0"/>
    <w:uiPriority w:val="0"/>
  </w:style>
  <w:style w:type="paragraph" w:styleId="55">
    <w:name w:val="toc 2"/>
    <w:basedOn w:val="0"/>
    <w:next w:val="0"/>
    <w:link w:val="0"/>
    <w:uiPriority w:val="0"/>
    <w:pPr>
      <w:ind w:left="210" w:leftChars="100"/>
    </w:pPr>
  </w:style>
  <w:style w:type="paragraph" w:styleId="56">
    <w:name w:val="toc 3"/>
    <w:basedOn w:val="0"/>
    <w:next w:val="0"/>
    <w:link w:val="0"/>
    <w:uiPriority w:val="0"/>
    <w:pPr>
      <w:ind w:left="420" w:leftChars="200"/>
    </w:pPr>
  </w:style>
  <w:style w:type="character" w:styleId="57">
    <w:name w:val="footnote reference"/>
    <w:basedOn w:val="10"/>
    <w:next w:val="57"/>
    <w:link w:val="0"/>
    <w:uiPriority w:val="0"/>
    <w:semiHidden/>
    <w:rPr>
      <w:vertAlign w:val="superscript"/>
    </w:rPr>
  </w:style>
  <w:style w:type="table" w:styleId="58">
    <w:name w:val="Table Grid"/>
    <w:basedOn w:val="11"/>
    <w:next w:val="5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705</Characters>
  <Application>JUST Note</Application>
  <Lines>62</Lines>
  <Paragraphs>25</Paragraphs>
  <Company>埼玉県</Company>
  <CharactersWithSpaces>739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イ 落札者決定後 総合評価方式を適用した工事において落札者を決</dc:title>
  <dc:creator>埼玉県</dc:creator>
  <cp:lastModifiedBy>板橋 乃理</cp:lastModifiedBy>
  <cp:lastPrinted>2023-01-16T02:29:00Z</cp:lastPrinted>
  <dcterms:created xsi:type="dcterms:W3CDTF">2024-05-27T01:50:00Z</dcterms:created>
  <dcterms:modified xsi:type="dcterms:W3CDTF">2024-05-27T01:50:54Z</dcterms:modified>
  <cp:revision>2</cp:revision>
</cp:coreProperties>
</file>