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default"/>
          <w:color w:val="000000"/>
        </w:rPr>
      </w:pPr>
      <w:r>
        <w:rPr>
          <w:rFonts w:hint="eastAsia"/>
        </w:rPr>
        <w:pict>
          <v:shapetype id="_x0000_t202" coordsize="21600,21600" o:spt="202" path="m,l,21600r21600,l21600,xe">
            <v:stroke joinstyle="miter"/>
            <v:path gradientshapeok="t" o:connecttype="rect"/>
          </v:shapetype>
          <v:shape id="_x0000_s1026" style="mso-position-vertical-relative:text;z-index:2;width:100.75pt;height:47.6pt;mso-position-horizontal-relative:text;position:absolute;margin-left:423.05pt;margin-top:-25.85pt;" o:allowincell="t" filled="t" stroked="t" o:spt="202" type="#_x0000_t202">
            <v:fill/>
            <v:stroke joinstyle="miter"/>
            <v:textbox style="layout-flow:horizontal;mso-fit-shape-to-text:t;" inset="2.0637499999999998mm,0.24694444444444438mm,2.0637499999999998mm,0.24694444444444438mm">
              <w:txbxContent>
                <w:p>
                  <w:pPr>
                    <w:pStyle w:val="0"/>
                    <w:jc w:val="center"/>
                    <w:rPr>
                      <w:rFonts w:hint="default" w:ascii="ＭＳ ゴシック" w:hAnsi="ＭＳ ゴシック" w:eastAsia="ＭＳ ゴシック"/>
                      <w:b w:val="1"/>
                      <w:sz w:val="40"/>
                    </w:rPr>
                  </w:pPr>
                  <w:r>
                    <w:rPr>
                      <w:rFonts w:hint="eastAsia" w:ascii="ＭＳ ゴシック" w:hAnsi="ＭＳ ゴシック" w:eastAsia="ＭＳ ゴシック"/>
                      <w:b w:val="1"/>
                      <w:sz w:val="44"/>
                    </w:rPr>
                    <w:t>資料１</w:t>
                  </w:r>
                </w:p>
              </w:txbxContent>
            </v:textbox>
            <v:imagedata o:title=""/>
            <w10:wrap type="none" anchorx="text" anchory="text"/>
          </v:shape>
        </w:pict>
      </w:r>
      <w:bookmarkStart w:id="0" w:name="_GoBack"/>
      <w:bookmarkEnd w:id="0"/>
      <w:r>
        <w:rPr>
          <w:rFonts w:hint="eastAsia"/>
          <w:color w:val="000000"/>
        </w:rPr>
        <w:t>　　　春日部市障害者計画等審議会条例</w:t>
      </w:r>
    </w:p>
    <w:p>
      <w:pPr>
        <w:pStyle w:val="0"/>
        <w:overflowPunct w:val="0"/>
        <w:autoSpaceDE w:val="0"/>
        <w:autoSpaceDN w:val="0"/>
        <w:adjustRightInd w:val="0"/>
        <w:ind w:right="968"/>
        <w:rPr>
          <w:rFonts w:hint="eastAsia"/>
          <w:color w:val="000000"/>
        </w:rPr>
      </w:pPr>
    </w:p>
    <w:p>
      <w:pPr>
        <w:pStyle w:val="0"/>
        <w:overflowPunct w:val="0"/>
        <w:autoSpaceDE w:val="0"/>
        <w:autoSpaceDN w:val="0"/>
        <w:adjustRightInd w:val="0"/>
        <w:ind w:left="220" w:hanging="220"/>
        <w:jc w:val="left"/>
        <w:rPr>
          <w:rFonts w:hint="default"/>
          <w:color w:val="000000"/>
        </w:rPr>
      </w:pPr>
      <w:r>
        <w:rPr>
          <w:rFonts w:hint="eastAsia"/>
          <w:color w:val="000000"/>
        </w:rPr>
        <w:t>　（設置）</w:t>
      </w:r>
    </w:p>
    <w:p>
      <w:pPr>
        <w:pStyle w:val="0"/>
        <w:overflowPunct w:val="0"/>
        <w:autoSpaceDE w:val="0"/>
        <w:autoSpaceDN w:val="0"/>
        <w:adjustRightInd w:val="0"/>
        <w:ind w:left="242" w:hanging="242"/>
        <w:jc w:val="left"/>
        <w:rPr>
          <w:rFonts w:hint="eastAsia"/>
          <w:color w:val="000000"/>
        </w:rPr>
      </w:pPr>
      <w:r>
        <w:rPr>
          <w:rFonts w:hint="eastAsia"/>
          <w:color w:val="000000"/>
        </w:rPr>
        <w:t>第１条　障害者基本法（昭和４５年法律第８４号）第１１条第３項の規定に基づく市の障害者計画、障害者の日常生活及び社会生活を総合的に支援するための法律（平成１７年法律第１２３号）第８８条第１項の規定に基づく市の障害福祉計画及び児童福祉法（昭和２２年法律第１６４号）第３３条の２０第１項の規定に基づく市の障害児福祉計画（以下「障害者計画等」という。）を策定し、及び障害者計画等の推進を図るため、春日部市障害者計画等審議会（以下「審議会」という。）を置く。</w:t>
      </w:r>
    </w:p>
    <w:p>
      <w:pPr>
        <w:pStyle w:val="0"/>
        <w:overflowPunct w:val="0"/>
        <w:autoSpaceDE w:val="0"/>
        <w:autoSpaceDN w:val="0"/>
        <w:adjustRightInd w:val="0"/>
        <w:jc w:val="left"/>
        <w:rPr>
          <w:rFonts w:hint="eastAsia"/>
          <w:color w:val="000000"/>
        </w:rPr>
      </w:pPr>
      <w:r>
        <w:rPr>
          <w:rFonts w:hint="eastAsia"/>
          <w:color w:val="000000"/>
        </w:rPr>
        <w:t>　（所掌事務）</w:t>
      </w:r>
    </w:p>
    <w:p>
      <w:pPr>
        <w:pStyle w:val="0"/>
        <w:autoSpaceDE w:val="0"/>
        <w:autoSpaceDN w:val="0"/>
        <w:adjustRightInd w:val="0"/>
        <w:spacing w:line="304" w:lineRule="atLeast"/>
        <w:ind w:left="214" w:hanging="214"/>
        <w:rPr>
          <w:rFonts w:hint="default"/>
        </w:rPr>
      </w:pPr>
      <w:r>
        <w:rPr>
          <w:rFonts w:hint="eastAsia"/>
          <w:color w:val="000000"/>
        </w:rPr>
        <w:t>第２条　</w:t>
      </w:r>
      <w:r>
        <w:rPr>
          <w:rFonts w:hint="eastAsia"/>
        </w:rPr>
        <w:t>審議会は、次に掲げる事項を調査審議する。</w:t>
      </w:r>
    </w:p>
    <w:p>
      <w:pPr>
        <w:pStyle w:val="0"/>
        <w:autoSpaceDE w:val="0"/>
        <w:autoSpaceDN w:val="0"/>
        <w:adjustRightInd w:val="0"/>
        <w:spacing w:line="304" w:lineRule="atLeast"/>
        <w:ind w:firstLine="242" w:firstLineChars="100"/>
        <w:rPr>
          <w:rFonts w:hint="default"/>
        </w:rPr>
      </w:pPr>
      <w:r>
        <w:rPr>
          <w:rFonts w:hint="eastAsia"/>
        </w:rPr>
        <w:t>(1)</w:t>
      </w:r>
      <w:r>
        <w:rPr>
          <w:rFonts w:hint="default"/>
        </w:rPr>
        <w:t xml:space="preserve"> </w:t>
      </w:r>
      <w:r>
        <w:rPr>
          <w:rFonts w:hint="eastAsia"/>
        </w:rPr>
        <w:t>障害者計画等の策定及び変更に関する事項</w:t>
      </w:r>
    </w:p>
    <w:p>
      <w:pPr>
        <w:pStyle w:val="0"/>
        <w:autoSpaceDE w:val="0"/>
        <w:autoSpaceDN w:val="0"/>
        <w:adjustRightInd w:val="0"/>
        <w:spacing w:line="304" w:lineRule="atLeast"/>
        <w:ind w:firstLine="242" w:firstLineChars="100"/>
        <w:rPr>
          <w:rFonts w:hint="default"/>
        </w:rPr>
      </w:pPr>
      <w:r>
        <w:rPr>
          <w:rFonts w:hint="default"/>
        </w:rPr>
        <w:t>(</w:t>
      </w:r>
      <w:r>
        <w:rPr>
          <w:rFonts w:hint="eastAsia"/>
        </w:rPr>
        <w:t>2</w:t>
      </w:r>
      <w:r>
        <w:rPr>
          <w:rFonts w:hint="default"/>
        </w:rPr>
        <w:t>)</w:t>
      </w:r>
      <w:r>
        <w:rPr>
          <w:rFonts w:hint="eastAsia"/>
        </w:rPr>
        <w:t xml:space="preserve"> </w:t>
      </w:r>
      <w:r>
        <w:rPr>
          <w:rFonts w:hint="eastAsia"/>
        </w:rPr>
        <w:t>障害者計画等の推進に関する事項</w:t>
      </w:r>
    </w:p>
    <w:p>
      <w:pPr>
        <w:pStyle w:val="0"/>
        <w:overflowPunct w:val="0"/>
        <w:autoSpaceDE w:val="0"/>
        <w:autoSpaceDN w:val="0"/>
        <w:adjustRightInd w:val="0"/>
        <w:ind w:left="220" w:hanging="220"/>
        <w:jc w:val="left"/>
        <w:rPr>
          <w:rFonts w:hint="eastAsia"/>
          <w:color w:val="000000"/>
        </w:rPr>
      </w:pPr>
      <w:r>
        <w:rPr>
          <w:rFonts w:hint="eastAsia"/>
          <w:color w:val="000000"/>
        </w:rPr>
        <w:t>　（組織）</w:t>
      </w:r>
    </w:p>
    <w:p>
      <w:pPr>
        <w:pStyle w:val="0"/>
        <w:overflowPunct w:val="0"/>
        <w:autoSpaceDE w:val="0"/>
        <w:autoSpaceDN w:val="0"/>
        <w:adjustRightInd w:val="0"/>
        <w:jc w:val="left"/>
        <w:rPr>
          <w:rFonts w:hint="eastAsia"/>
          <w:color w:val="000000"/>
        </w:rPr>
      </w:pPr>
      <w:r>
        <w:rPr>
          <w:rFonts w:hint="eastAsia"/>
          <w:color w:val="000000"/>
        </w:rPr>
        <w:t>第３条　審議会は、委員１８人以内をもって組織する。</w:t>
      </w:r>
    </w:p>
    <w:p>
      <w:pPr>
        <w:pStyle w:val="0"/>
        <w:overflowPunct w:val="0"/>
        <w:autoSpaceDE w:val="0"/>
        <w:autoSpaceDN w:val="0"/>
        <w:adjustRightInd w:val="0"/>
        <w:jc w:val="left"/>
        <w:rPr>
          <w:rFonts w:hint="eastAsia"/>
          <w:color w:val="000000"/>
        </w:rPr>
      </w:pPr>
      <w:r>
        <w:rPr>
          <w:rFonts w:hint="eastAsia"/>
          <w:color w:val="000000"/>
        </w:rPr>
        <w:t>２　委員は、次に掲げる者のうちから市長が委嘱する。</w:t>
      </w:r>
    </w:p>
    <w:p>
      <w:pPr>
        <w:pStyle w:val="0"/>
        <w:overflowPunct w:val="0"/>
        <w:autoSpaceDE w:val="0"/>
        <w:autoSpaceDN w:val="0"/>
        <w:adjustRightInd w:val="0"/>
        <w:ind w:left="220" w:hanging="220"/>
        <w:jc w:val="left"/>
        <w:rPr>
          <w:rFonts w:hint="eastAsia"/>
          <w:color w:val="000000"/>
        </w:rPr>
      </w:pPr>
      <w:r>
        <w:rPr>
          <w:rFonts w:hint="eastAsia"/>
          <w:color w:val="000000"/>
        </w:rPr>
        <w:t>　</w:t>
      </w:r>
      <w:r>
        <w:rPr>
          <w:rFonts w:hint="default"/>
          <w:color w:val="000000"/>
        </w:rPr>
        <w:t>(1)</w:t>
      </w:r>
      <w:r>
        <w:rPr>
          <w:rFonts w:hint="eastAsia"/>
          <w:color w:val="000000"/>
        </w:rPr>
        <w:t xml:space="preserve"> </w:t>
      </w:r>
      <w:r>
        <w:rPr>
          <w:rFonts w:hint="eastAsia"/>
          <w:color w:val="000000"/>
        </w:rPr>
        <w:t>学識経験者</w:t>
      </w:r>
    </w:p>
    <w:p>
      <w:pPr>
        <w:pStyle w:val="0"/>
        <w:overflowPunct w:val="0"/>
        <w:autoSpaceDE w:val="0"/>
        <w:autoSpaceDN w:val="0"/>
        <w:adjustRightInd w:val="0"/>
        <w:ind w:left="220" w:hanging="220"/>
        <w:jc w:val="left"/>
        <w:rPr>
          <w:rFonts w:hint="eastAsia"/>
          <w:color w:val="000000"/>
        </w:rPr>
      </w:pPr>
      <w:r>
        <w:rPr>
          <w:rFonts w:hint="eastAsia"/>
          <w:color w:val="000000"/>
        </w:rPr>
        <w:t>　</w:t>
      </w:r>
      <w:r>
        <w:rPr>
          <w:rFonts w:hint="eastAsia"/>
          <w:color w:val="000000"/>
        </w:rPr>
        <w:t xml:space="preserve">(2) </w:t>
      </w:r>
      <w:r>
        <w:rPr>
          <w:rFonts w:hint="eastAsia"/>
          <w:color w:val="000000"/>
        </w:rPr>
        <w:t>関係行政機関の職員</w:t>
      </w:r>
    </w:p>
    <w:p>
      <w:pPr>
        <w:pStyle w:val="0"/>
        <w:overflowPunct w:val="0"/>
        <w:autoSpaceDE w:val="0"/>
        <w:autoSpaceDN w:val="0"/>
        <w:adjustRightInd w:val="0"/>
        <w:ind w:left="220" w:hanging="220"/>
        <w:jc w:val="left"/>
        <w:rPr>
          <w:rFonts w:hint="eastAsia"/>
          <w:color w:val="000000"/>
        </w:rPr>
      </w:pPr>
      <w:r>
        <w:rPr>
          <w:rFonts w:hint="eastAsia"/>
          <w:color w:val="000000"/>
        </w:rPr>
        <w:t>　</w:t>
      </w:r>
      <w:r>
        <w:rPr>
          <w:rFonts w:hint="eastAsia"/>
          <w:color w:val="000000"/>
        </w:rPr>
        <w:t xml:space="preserve">(3) </w:t>
      </w:r>
      <w:r>
        <w:rPr>
          <w:rFonts w:hint="eastAsia"/>
          <w:color w:val="000000"/>
        </w:rPr>
        <w:t>各種団体を代表する者</w:t>
      </w:r>
    </w:p>
    <w:p>
      <w:pPr>
        <w:pStyle w:val="0"/>
        <w:overflowPunct w:val="0"/>
        <w:autoSpaceDE w:val="0"/>
        <w:autoSpaceDN w:val="0"/>
        <w:adjustRightInd w:val="0"/>
        <w:ind w:left="220" w:hanging="220"/>
        <w:jc w:val="left"/>
        <w:rPr>
          <w:rFonts w:hint="default"/>
          <w:color w:val="000000"/>
        </w:rPr>
      </w:pPr>
      <w:r>
        <w:rPr>
          <w:rFonts w:hint="eastAsia"/>
          <w:color w:val="000000"/>
        </w:rPr>
        <w:t>　</w:t>
      </w:r>
      <w:r>
        <w:rPr>
          <w:rFonts w:hint="eastAsia"/>
          <w:color w:val="000000"/>
        </w:rPr>
        <w:t xml:space="preserve">(4) </w:t>
      </w:r>
      <w:r>
        <w:rPr>
          <w:rFonts w:hint="eastAsia"/>
          <w:color w:val="000000"/>
        </w:rPr>
        <w:t>障害者の福祉に関する事業に従事する者</w:t>
      </w:r>
    </w:p>
    <w:p>
      <w:pPr>
        <w:pStyle w:val="0"/>
        <w:overflowPunct w:val="0"/>
        <w:autoSpaceDE w:val="0"/>
        <w:autoSpaceDN w:val="0"/>
        <w:adjustRightInd w:val="0"/>
        <w:ind w:left="220" w:hanging="220"/>
        <w:jc w:val="left"/>
        <w:rPr>
          <w:rFonts w:hint="default"/>
          <w:color w:val="000000"/>
        </w:rPr>
      </w:pPr>
      <w:r>
        <w:rPr>
          <w:rFonts w:hint="eastAsia"/>
          <w:color w:val="000000"/>
        </w:rPr>
        <w:t>　</w:t>
      </w:r>
      <w:r>
        <w:rPr>
          <w:rFonts w:hint="default"/>
          <w:color w:val="000000"/>
        </w:rPr>
        <w:t>(</w:t>
      </w:r>
      <w:r>
        <w:rPr>
          <w:rFonts w:hint="eastAsia"/>
          <w:color w:val="000000"/>
        </w:rPr>
        <w:t>5</w:t>
      </w:r>
      <w:r>
        <w:rPr>
          <w:rFonts w:hint="default"/>
          <w:color w:val="000000"/>
        </w:rPr>
        <w:t>)</w:t>
      </w:r>
      <w:r>
        <w:rPr>
          <w:rFonts w:hint="eastAsia"/>
          <w:color w:val="000000"/>
        </w:rPr>
        <w:t xml:space="preserve"> </w:t>
      </w:r>
      <w:r>
        <w:rPr>
          <w:rFonts w:hint="eastAsia"/>
          <w:color w:val="000000"/>
        </w:rPr>
        <w:t>公募に応じた市民</w:t>
      </w:r>
    </w:p>
    <w:p>
      <w:pPr>
        <w:pStyle w:val="0"/>
        <w:overflowPunct w:val="0"/>
        <w:autoSpaceDE w:val="0"/>
        <w:autoSpaceDN w:val="0"/>
        <w:adjustRightInd w:val="0"/>
        <w:ind w:left="220"/>
        <w:jc w:val="left"/>
        <w:rPr>
          <w:rFonts w:hint="default"/>
          <w:color w:val="000000"/>
        </w:rPr>
      </w:pPr>
      <w:r>
        <w:rPr>
          <w:rFonts w:hint="eastAsia"/>
          <w:color w:val="000000"/>
        </w:rPr>
        <w:t>（任期）</w:t>
      </w:r>
    </w:p>
    <w:p>
      <w:pPr>
        <w:pStyle w:val="0"/>
        <w:overflowPunct w:val="0"/>
        <w:autoSpaceDE w:val="0"/>
        <w:autoSpaceDN w:val="0"/>
        <w:adjustRightInd w:val="0"/>
        <w:ind w:right="-295" w:rightChars="-122"/>
        <w:jc w:val="left"/>
        <w:rPr>
          <w:rFonts w:hint="eastAsia"/>
          <w:color w:val="000000"/>
        </w:rPr>
      </w:pPr>
      <w:r>
        <w:rPr>
          <w:rFonts w:hint="eastAsia"/>
          <w:color w:val="000000"/>
        </w:rPr>
        <w:t>第４条　委員の任期は、３年とする。ただし、補欠委員の任期は、前任者の残任期間とする。</w:t>
      </w:r>
    </w:p>
    <w:p>
      <w:pPr>
        <w:pStyle w:val="0"/>
        <w:overflowPunct w:val="0"/>
        <w:autoSpaceDE w:val="0"/>
        <w:autoSpaceDN w:val="0"/>
        <w:adjustRightInd w:val="0"/>
        <w:ind w:left="220" w:hanging="220"/>
        <w:jc w:val="left"/>
        <w:rPr>
          <w:rFonts w:hint="eastAsia"/>
          <w:color w:val="000000"/>
        </w:rPr>
      </w:pPr>
      <w:r>
        <w:rPr>
          <w:rFonts w:hint="eastAsia"/>
          <w:color w:val="000000"/>
        </w:rPr>
        <w:t>２　委員は、再任されることができる。</w:t>
      </w:r>
    </w:p>
    <w:p>
      <w:pPr>
        <w:pStyle w:val="0"/>
        <w:overflowPunct w:val="0"/>
        <w:autoSpaceDE w:val="0"/>
        <w:autoSpaceDN w:val="0"/>
        <w:adjustRightInd w:val="0"/>
        <w:jc w:val="left"/>
        <w:rPr>
          <w:rFonts w:hint="eastAsia"/>
          <w:color w:val="000000"/>
        </w:rPr>
      </w:pPr>
      <w:r>
        <w:rPr>
          <w:rFonts w:hint="eastAsia"/>
          <w:color w:val="000000"/>
        </w:rPr>
        <w:t>　（会長及び副会長）</w:t>
      </w:r>
    </w:p>
    <w:p>
      <w:pPr>
        <w:pStyle w:val="0"/>
        <w:overflowPunct w:val="0"/>
        <w:autoSpaceDE w:val="0"/>
        <w:autoSpaceDN w:val="0"/>
        <w:adjustRightInd w:val="0"/>
        <w:ind w:left="242" w:hanging="242" w:hangingChars="100"/>
        <w:jc w:val="left"/>
        <w:rPr>
          <w:rFonts w:hint="eastAsia"/>
          <w:color w:val="000000"/>
        </w:rPr>
      </w:pPr>
      <w:r>
        <w:rPr>
          <w:rFonts w:hint="eastAsia"/>
          <w:color w:val="000000"/>
        </w:rPr>
        <w:t>第５条　審議会に会長及び副会長を置き、委員の互選によりこれを定める。</w:t>
      </w:r>
    </w:p>
    <w:p>
      <w:pPr>
        <w:pStyle w:val="0"/>
        <w:overflowPunct w:val="0"/>
        <w:autoSpaceDE w:val="0"/>
        <w:autoSpaceDN w:val="0"/>
        <w:adjustRightInd w:val="0"/>
        <w:ind w:left="242" w:hanging="242" w:hangingChars="100"/>
        <w:jc w:val="left"/>
        <w:rPr>
          <w:rFonts w:hint="eastAsia"/>
          <w:color w:val="000000"/>
        </w:rPr>
      </w:pPr>
      <w:r>
        <w:rPr>
          <w:rFonts w:hint="eastAsia"/>
          <w:color w:val="000000"/>
        </w:rPr>
        <w:t>２　会長は、審議会を代表し、会務を総理し、会議の議長となる。</w:t>
      </w:r>
    </w:p>
    <w:p>
      <w:pPr>
        <w:pStyle w:val="0"/>
        <w:overflowPunct w:val="0"/>
        <w:autoSpaceDE w:val="0"/>
        <w:autoSpaceDN w:val="0"/>
        <w:adjustRightInd w:val="0"/>
        <w:ind w:left="242" w:hanging="242" w:hangingChars="100"/>
        <w:jc w:val="left"/>
        <w:rPr>
          <w:rFonts w:hint="eastAsia"/>
          <w:color w:val="000000"/>
        </w:rPr>
      </w:pPr>
      <w:r>
        <w:rPr>
          <w:rFonts w:hint="eastAsia"/>
          <w:color w:val="000000"/>
        </w:rPr>
        <w:t>３　副会長は、会長を補佐し、会長に事故があるとき、又は会長が欠けたときは、その職務を代理する。</w:t>
      </w:r>
    </w:p>
    <w:p>
      <w:pPr>
        <w:pStyle w:val="0"/>
        <w:overflowPunct w:val="0"/>
        <w:autoSpaceDE w:val="0"/>
        <w:autoSpaceDN w:val="0"/>
        <w:adjustRightInd w:val="0"/>
        <w:jc w:val="left"/>
        <w:rPr>
          <w:rFonts w:hint="default"/>
          <w:color w:val="000000"/>
        </w:rPr>
      </w:pPr>
      <w:r>
        <w:rPr>
          <w:rFonts w:hint="eastAsia"/>
          <w:color w:val="000000"/>
        </w:rPr>
        <w:t>　（会議）</w:t>
      </w:r>
    </w:p>
    <w:p>
      <w:pPr>
        <w:pStyle w:val="0"/>
        <w:overflowPunct w:val="0"/>
        <w:autoSpaceDE w:val="0"/>
        <w:autoSpaceDN w:val="0"/>
        <w:adjustRightInd w:val="0"/>
        <w:ind w:left="220" w:hanging="220"/>
        <w:jc w:val="left"/>
        <w:rPr>
          <w:rFonts w:hint="eastAsia"/>
          <w:color w:val="000000"/>
        </w:rPr>
      </w:pPr>
      <w:r>
        <w:rPr>
          <w:rFonts w:hint="eastAsia"/>
          <w:color w:val="000000"/>
        </w:rPr>
        <w:t>第６条　審議会の会議は、会長が招集する。</w:t>
      </w:r>
    </w:p>
    <w:p>
      <w:pPr>
        <w:pStyle w:val="0"/>
        <w:overflowPunct w:val="0"/>
        <w:autoSpaceDE w:val="0"/>
        <w:autoSpaceDN w:val="0"/>
        <w:adjustRightInd w:val="0"/>
        <w:jc w:val="left"/>
        <w:rPr>
          <w:rFonts w:hint="eastAsia"/>
          <w:color w:val="000000"/>
        </w:rPr>
      </w:pPr>
      <w:r>
        <w:rPr>
          <w:rFonts w:hint="eastAsia"/>
          <w:color w:val="000000"/>
        </w:rPr>
        <w:t>２　審議会の会議は、委員の過半数が出席しなければ、開くことができない。</w:t>
      </w:r>
    </w:p>
    <w:p>
      <w:pPr>
        <w:pStyle w:val="0"/>
        <w:overflowPunct w:val="0"/>
        <w:autoSpaceDE w:val="0"/>
        <w:autoSpaceDN w:val="0"/>
        <w:adjustRightInd w:val="0"/>
        <w:ind w:left="242" w:hanging="242" w:hangingChars="100"/>
        <w:jc w:val="left"/>
        <w:rPr>
          <w:rFonts w:hint="eastAsia"/>
          <w:color w:val="000000"/>
        </w:rPr>
      </w:pPr>
      <w:r>
        <w:rPr>
          <w:rFonts w:hint="eastAsia"/>
          <w:color w:val="000000"/>
        </w:rPr>
        <w:t>３　審議会の議事は、出席委員の過半数で決し、可否同数のときは、議長の決するところによる。</w:t>
      </w:r>
    </w:p>
    <w:p>
      <w:pPr>
        <w:pStyle w:val="0"/>
        <w:overflowPunct w:val="0"/>
        <w:autoSpaceDE w:val="0"/>
        <w:autoSpaceDN w:val="0"/>
        <w:adjustRightInd w:val="0"/>
        <w:jc w:val="left"/>
        <w:rPr>
          <w:rFonts w:hint="default"/>
          <w:color w:val="000000"/>
        </w:rPr>
      </w:pPr>
      <w:r>
        <w:rPr>
          <w:rFonts w:hint="eastAsia"/>
          <w:color w:val="000000"/>
        </w:rPr>
        <w:t>　（意見聴取等）</w:t>
      </w:r>
    </w:p>
    <w:p>
      <w:pPr>
        <w:pStyle w:val="0"/>
        <w:overflowPunct w:val="0"/>
        <w:autoSpaceDE w:val="0"/>
        <w:autoSpaceDN w:val="0"/>
        <w:adjustRightInd w:val="0"/>
        <w:ind w:left="220" w:right="-10" w:rightChars="-4" w:hanging="220"/>
        <w:jc w:val="left"/>
        <w:rPr>
          <w:rFonts w:hint="eastAsia"/>
          <w:color w:val="000000"/>
        </w:rPr>
      </w:pPr>
      <w:r>
        <w:rPr>
          <w:rFonts w:hint="eastAsia"/>
          <w:color w:val="000000"/>
        </w:rPr>
        <w:t>第７条　審議会は、審議のため必要があると認めるときは、委員以外の者の出席を求め、意見若しくは説明を聴き、又は必要な資料の提出を求めることができる。</w:t>
      </w:r>
    </w:p>
    <w:p>
      <w:pPr>
        <w:pStyle w:val="0"/>
        <w:overflowPunct w:val="0"/>
        <w:autoSpaceDE w:val="0"/>
        <w:autoSpaceDN w:val="0"/>
        <w:adjustRightInd w:val="0"/>
        <w:jc w:val="left"/>
        <w:rPr>
          <w:rFonts w:hint="default"/>
          <w:color w:val="000000"/>
        </w:rPr>
      </w:pPr>
      <w:r>
        <w:rPr>
          <w:rFonts w:hint="eastAsia"/>
          <w:color w:val="000000"/>
        </w:rPr>
        <w:t>　（庶務）</w:t>
      </w:r>
    </w:p>
    <w:p>
      <w:pPr>
        <w:pStyle w:val="0"/>
        <w:overflowPunct w:val="0"/>
        <w:autoSpaceDE w:val="0"/>
        <w:autoSpaceDN w:val="0"/>
        <w:adjustRightInd w:val="0"/>
        <w:ind w:left="220" w:hanging="220"/>
        <w:jc w:val="left"/>
        <w:rPr>
          <w:rFonts w:hint="eastAsia"/>
          <w:color w:val="000000"/>
        </w:rPr>
      </w:pPr>
      <w:r>
        <w:rPr>
          <w:rFonts w:hint="eastAsia"/>
          <w:color w:val="000000"/>
        </w:rPr>
        <w:t>第８条　審議会の庶務は、福祉部障がい者支援課において処理する。</w:t>
      </w:r>
    </w:p>
    <w:p>
      <w:pPr>
        <w:pStyle w:val="0"/>
        <w:overflowPunct w:val="0"/>
        <w:autoSpaceDE w:val="0"/>
        <w:autoSpaceDN w:val="0"/>
        <w:adjustRightInd w:val="0"/>
        <w:ind w:firstLine="242" w:firstLineChars="100"/>
        <w:jc w:val="left"/>
        <w:rPr>
          <w:rFonts w:hint="eastAsia"/>
          <w:color w:val="000000"/>
        </w:rPr>
      </w:pPr>
      <w:r>
        <w:rPr>
          <w:rFonts w:hint="eastAsia"/>
          <w:color w:val="000000"/>
        </w:rPr>
        <w:t>（委任）</w:t>
      </w:r>
    </w:p>
    <w:p>
      <w:pPr>
        <w:pStyle w:val="0"/>
        <w:overflowPunct w:val="0"/>
        <w:autoSpaceDE w:val="0"/>
        <w:autoSpaceDN w:val="0"/>
        <w:adjustRightInd w:val="0"/>
        <w:ind w:left="220" w:right="-295" w:rightChars="-122" w:hanging="220"/>
        <w:jc w:val="left"/>
        <w:rPr>
          <w:rFonts w:hint="eastAsia"/>
        </w:rPr>
      </w:pPr>
      <w:r>
        <w:rPr>
          <w:rFonts w:hint="eastAsia"/>
          <w:color w:val="000000"/>
        </w:rPr>
        <w:t>第９条　この条例に定めるもののほか、審議会の運営に関し必要な事項は、審議会が定める</w:t>
      </w:r>
      <w:r>
        <w:rPr>
          <w:rFonts w:hint="eastAsia"/>
        </w:rPr>
        <w:t>。</w:t>
      </w:r>
    </w:p>
    <w:p>
      <w:pPr>
        <w:pStyle w:val="0"/>
        <w:overflowPunct w:val="0"/>
        <w:autoSpaceDE w:val="0"/>
        <w:autoSpaceDN w:val="0"/>
        <w:adjustRightInd w:val="0"/>
        <w:ind w:left="220" w:hanging="220"/>
        <w:jc w:val="left"/>
        <w:rPr>
          <w:rFonts w:hint="default"/>
          <w:color w:val="000000"/>
        </w:rPr>
      </w:pPr>
      <w:r>
        <w:rPr>
          <w:rFonts w:hint="eastAsia"/>
          <w:color w:val="000000"/>
        </w:rPr>
        <w:t>　　　附　則</w:t>
      </w:r>
    </w:p>
    <w:p>
      <w:pPr>
        <w:pStyle w:val="0"/>
        <w:overflowPunct w:val="0"/>
        <w:autoSpaceDE w:val="0"/>
        <w:autoSpaceDN w:val="0"/>
        <w:adjustRightInd w:val="0"/>
        <w:ind w:left="220" w:hanging="220"/>
        <w:jc w:val="left"/>
        <w:rPr>
          <w:rFonts w:hint="eastAsia"/>
          <w:color w:val="000000"/>
        </w:rPr>
      </w:pPr>
      <w:r>
        <w:rPr>
          <w:rFonts w:hint="eastAsia"/>
          <w:color w:val="000000"/>
        </w:rPr>
        <w:t>　（施行期日）</w:t>
      </w:r>
    </w:p>
    <w:p>
      <w:pPr>
        <w:pStyle w:val="0"/>
        <w:overflowPunct w:val="0"/>
        <w:autoSpaceDE w:val="0"/>
        <w:autoSpaceDN w:val="0"/>
        <w:adjustRightInd w:val="0"/>
        <w:jc w:val="left"/>
        <w:rPr>
          <w:rFonts w:hint="default"/>
          <w:color w:val="000000"/>
        </w:rPr>
      </w:pPr>
      <w:r>
        <w:rPr>
          <w:rFonts w:hint="eastAsia"/>
          <w:color w:val="000000"/>
        </w:rPr>
        <w:t>１　この条例は、令和２年４月１日から施行する。</w:t>
      </w:r>
    </w:p>
    <w:p>
      <w:pPr>
        <w:pStyle w:val="0"/>
        <w:overflowPunct w:val="0"/>
        <w:autoSpaceDE w:val="0"/>
        <w:autoSpaceDN w:val="0"/>
        <w:adjustRightInd w:val="0"/>
        <w:jc w:val="left"/>
        <w:rPr>
          <w:rFonts w:hint="default"/>
          <w:color w:val="000000"/>
        </w:rPr>
      </w:pPr>
      <w:r>
        <w:rPr>
          <w:rFonts w:hint="eastAsia"/>
          <w:color w:val="000000"/>
        </w:rPr>
        <w:t>　（春日部市特別職の職員で非常勤のものの報酬及び費用弁償に関する条例の一部改正）</w:t>
      </w:r>
    </w:p>
    <w:p>
      <w:pPr>
        <w:pStyle w:val="0"/>
        <w:overflowPunct w:val="0"/>
        <w:autoSpaceDE w:val="0"/>
        <w:autoSpaceDN w:val="0"/>
        <w:adjustRightInd w:val="0"/>
        <w:jc w:val="left"/>
        <w:rPr>
          <w:rFonts w:hint="default"/>
          <w:color w:val="000000"/>
        </w:rPr>
      </w:pPr>
      <w:r>
        <w:rPr>
          <w:rFonts w:hint="eastAsia"/>
          <w:color w:val="000000"/>
        </w:rPr>
        <w:t>２　春日部市特別職の職員で非常勤のものの報酬及び費用弁償に関する条例（平成１７年条</w:t>
      </w:r>
    </w:p>
    <w:p>
      <w:pPr>
        <w:pStyle w:val="0"/>
        <w:overflowPunct w:val="0"/>
        <w:autoSpaceDE w:val="0"/>
        <w:autoSpaceDN w:val="0"/>
        <w:adjustRightInd w:val="0"/>
        <w:ind w:firstLine="242" w:firstLineChars="100"/>
        <w:jc w:val="left"/>
        <w:rPr>
          <w:rFonts w:hint="default"/>
          <w:color w:val="000000"/>
        </w:rPr>
      </w:pPr>
      <w:r>
        <w:rPr>
          <w:rFonts w:hint="eastAsia"/>
          <w:color w:val="000000"/>
        </w:rPr>
        <w:t>例第４７号）の一部を次のように改正する。</w:t>
      </w:r>
    </w:p>
    <w:p>
      <w:pPr>
        <w:pStyle w:val="0"/>
        <w:ind w:left="484" w:leftChars="100" w:hanging="242" w:hangingChars="100"/>
        <w:jc w:val="left"/>
        <w:rPr>
          <w:rFonts w:hint="eastAsia"/>
        </w:rPr>
      </w:pPr>
      <w:r>
        <w:rPr>
          <w:rFonts w:hint="eastAsia"/>
        </w:rPr>
        <w:t xml:space="preserve">(1) </w:t>
      </w:r>
      <w:r>
        <w:rPr>
          <w:rFonts w:hint="eastAsia"/>
        </w:rPr>
        <w:t>次の表中、改正前の欄の太線で囲まれた部分をそれに対応する改正後の欄の太線で囲まれた部分に改める。</w:t>
      </w:r>
    </w:p>
    <w:tbl>
      <w:tblPr>
        <w:tblStyle w:val="11"/>
        <w:tblW w:w="0" w:type="auto"/>
        <w:tblInd w:w="8" w:type="dxa"/>
        <w:tblLayout w:type="fixed"/>
        <w:tblCellMar>
          <w:top w:w="0" w:type="dxa"/>
          <w:left w:w="0" w:type="dxa"/>
          <w:bottom w:w="0" w:type="dxa"/>
          <w:right w:w="0" w:type="dxa"/>
        </w:tblCellMar>
        <w:tblLook w:firstRow="0" w:lastRow="0" w:firstColumn="0" w:lastColumn="0" w:noHBand="1" w:noVBand="1" w:val="0600"/>
      </w:tblPr>
      <w:tblGrid>
        <w:gridCol w:w="400"/>
        <w:gridCol w:w="1879"/>
        <w:gridCol w:w="1088"/>
        <w:gridCol w:w="494"/>
        <w:gridCol w:w="692"/>
        <w:gridCol w:w="400"/>
        <w:gridCol w:w="400"/>
        <w:gridCol w:w="1879"/>
        <w:gridCol w:w="1088"/>
        <w:gridCol w:w="494"/>
        <w:gridCol w:w="692"/>
        <w:gridCol w:w="400"/>
      </w:tblGrid>
      <w:tr>
        <w:trPr/>
        <w:tc>
          <w:tcPr>
            <w:tcW w:w="4953" w:type="dxa"/>
            <w:gridSpan w:val="6"/>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center"/>
              <w:rPr>
                <w:rFonts w:hint="default"/>
                <w:spacing w:val="10"/>
                <w:sz w:val="20"/>
              </w:rPr>
            </w:pPr>
            <w:r>
              <w:rPr>
                <w:rFonts w:hint="eastAsia"/>
                <w:spacing w:val="10"/>
                <w:sz w:val="20"/>
              </w:rPr>
              <w:t>改正後</w:t>
            </w:r>
          </w:p>
        </w:tc>
        <w:tc>
          <w:tcPr>
            <w:tcW w:w="4953" w:type="dxa"/>
            <w:gridSpan w:val="6"/>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center"/>
              <w:rPr>
                <w:rFonts w:hint="default"/>
                <w:spacing w:val="10"/>
                <w:sz w:val="20"/>
              </w:rPr>
            </w:pPr>
            <w:r>
              <w:rPr>
                <w:rFonts w:hint="eastAsia"/>
                <w:spacing w:val="10"/>
                <w:sz w:val="20"/>
              </w:rPr>
              <w:t>改正前</w:t>
            </w:r>
          </w:p>
        </w:tc>
      </w:tr>
      <w:tr>
        <w:tblPrEx>
          <w:tblBorders>
            <w:top w:val="none" w:color="auto" w:sz="0" w:space="0"/>
            <w:left w:val="single" w:color="auto" w:sz="6" w:space="0"/>
            <w:bottom w:val="none" w:color="auto" w:sz="0" w:space="0"/>
            <w:right w:val="single" w:color="auto" w:sz="6" w:space="0"/>
            <w:insideH w:val="none" w:color="auto" w:sz="0" w:space="0"/>
            <w:insideV w:val="single" w:color="auto" w:sz="6" w:space="0"/>
          </w:tblBorders>
        </w:tblPrEx>
        <w:trPr/>
        <w:tc>
          <w:tcPr>
            <w:tcW w:w="4953" w:type="dxa"/>
            <w:gridSpan w:val="6"/>
            <w:tcBorders>
              <w:top w:val="nil"/>
              <w:left w:val="none" w:color="auto" w:sz="0" w:space="0"/>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rPr>
                <w:rFonts w:hint="default"/>
                <w:spacing w:val="10"/>
                <w:sz w:val="20"/>
              </w:rPr>
            </w:pPr>
            <w:r>
              <w:rPr>
                <w:rFonts w:hint="eastAsia"/>
                <w:spacing w:val="10"/>
                <w:sz w:val="20"/>
              </w:rPr>
              <w:t>別表第１（第１条関係）</w:t>
            </w:r>
          </w:p>
        </w:tc>
        <w:tc>
          <w:tcPr>
            <w:tcW w:w="4953" w:type="dxa"/>
            <w:gridSpan w:val="6"/>
            <w:tcBorders>
              <w:top w:val="nil"/>
              <w:left w:val="none" w:color="auto" w:sz="0" w:space="0"/>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rPr>
                <w:rFonts w:hint="default"/>
                <w:spacing w:val="10"/>
                <w:sz w:val="20"/>
              </w:rPr>
            </w:pPr>
            <w:r>
              <w:rPr>
                <w:rFonts w:hint="eastAsia"/>
                <w:spacing w:val="10"/>
                <w:sz w:val="20"/>
              </w:rPr>
              <w:t>別表第１（第１条関係）</w:t>
            </w:r>
          </w:p>
        </w:tc>
      </w:tr>
      <w:tr>
        <w:tblPrEx>
          <w:tblBorders>
            <w:top w:val="none" w:color="auto" w:sz="0" w:space="0"/>
            <w:left w:val="single" w:color="auto" w:sz="6" w:space="0"/>
            <w:bottom w:val="none" w:color="auto" w:sz="0" w:space="0"/>
            <w:right w:val="single" w:color="auto" w:sz="6" w:space="0"/>
            <w:insideH w:val="none" w:color="auto" w:sz="0" w:space="0"/>
            <w:insideV w:val="single" w:color="auto" w:sz="6" w:space="0"/>
          </w:tblBorders>
        </w:tblPrEx>
        <w:trPr/>
        <w:tc>
          <w:tcPr>
            <w:tcW w:w="400" w:type="dxa"/>
            <w:tcBorders>
              <w:top w:val="nil"/>
              <w:left w:val="none" w:color="auto" w:sz="0" w:space="0"/>
              <w:bottom w:val="nil"/>
              <w:right w:val="nil"/>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1879" w:type="dxa"/>
            <w:tcBorders>
              <w:top w:val="single" w:color="auto" w:sz="6"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center"/>
              <w:rPr>
                <w:rFonts w:hint="default"/>
                <w:spacing w:val="10"/>
                <w:sz w:val="20"/>
              </w:rPr>
            </w:pPr>
            <w:r>
              <w:rPr>
                <w:rFonts w:hint="eastAsia"/>
                <w:spacing w:val="10"/>
                <w:sz w:val="20"/>
              </w:rPr>
              <w:t>職名</w:t>
            </w:r>
          </w:p>
        </w:tc>
        <w:tc>
          <w:tcPr>
            <w:tcW w:w="2274" w:type="dxa"/>
            <w:gridSpan w:val="3"/>
            <w:tcBorders>
              <w:top w:val="single" w:color="auto" w:sz="6"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center"/>
              <w:rPr>
                <w:rFonts w:hint="default"/>
                <w:spacing w:val="10"/>
                <w:sz w:val="20"/>
              </w:rPr>
            </w:pPr>
            <w:r>
              <w:rPr>
                <w:rFonts w:hint="eastAsia"/>
                <w:spacing w:val="10"/>
                <w:sz w:val="20"/>
              </w:rPr>
              <w:t>報酬</w:t>
            </w:r>
          </w:p>
        </w:tc>
        <w:tc>
          <w:tcPr>
            <w:tcW w:w="400" w:type="dxa"/>
            <w:tcBorders>
              <w:top w:val="nil"/>
              <w:left w:val="nil"/>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400" w:type="dxa"/>
            <w:tcBorders>
              <w:top w:val="nil"/>
              <w:left w:val="none" w:color="auto" w:sz="0" w:space="0"/>
              <w:bottom w:val="nil"/>
              <w:right w:val="nil"/>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1879" w:type="dxa"/>
            <w:tcBorders>
              <w:top w:val="single" w:color="auto" w:sz="6"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center"/>
              <w:rPr>
                <w:rFonts w:hint="default"/>
                <w:spacing w:val="10"/>
                <w:sz w:val="20"/>
              </w:rPr>
            </w:pPr>
            <w:r>
              <w:rPr>
                <w:rFonts w:hint="eastAsia"/>
                <w:spacing w:val="10"/>
                <w:sz w:val="20"/>
              </w:rPr>
              <w:t>職名</w:t>
            </w:r>
          </w:p>
        </w:tc>
        <w:tc>
          <w:tcPr>
            <w:tcW w:w="2274" w:type="dxa"/>
            <w:gridSpan w:val="3"/>
            <w:tcBorders>
              <w:top w:val="single" w:color="auto" w:sz="6"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center"/>
              <w:rPr>
                <w:rFonts w:hint="default"/>
                <w:spacing w:val="10"/>
                <w:sz w:val="20"/>
              </w:rPr>
            </w:pPr>
            <w:r>
              <w:rPr>
                <w:rFonts w:hint="eastAsia"/>
                <w:spacing w:val="10"/>
                <w:sz w:val="20"/>
              </w:rPr>
              <w:t>報酬</w:t>
            </w:r>
          </w:p>
        </w:tc>
        <w:tc>
          <w:tcPr>
            <w:tcW w:w="400" w:type="dxa"/>
            <w:tcBorders>
              <w:top w:val="nil"/>
              <w:left w:val="nil"/>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r>
      <w:tr>
        <w:tblPrEx>
          <w:tblBorders>
            <w:top w:val="none" w:color="auto" w:sz="0" w:space="0"/>
            <w:left w:val="single" w:color="auto" w:sz="6" w:space="0"/>
            <w:bottom w:val="none" w:color="auto" w:sz="0" w:space="0"/>
            <w:right w:val="single" w:color="auto" w:sz="6" w:space="0"/>
            <w:insideH w:val="none" w:color="auto" w:sz="0" w:space="0"/>
            <w:insideV w:val="single" w:color="auto" w:sz="6" w:space="0"/>
          </w:tblBorders>
        </w:tblPrEx>
        <w:trPr/>
        <w:tc>
          <w:tcPr>
            <w:tcW w:w="400" w:type="dxa"/>
            <w:tcBorders>
              <w:top w:val="nil"/>
              <w:left w:val="none" w:color="auto" w:sz="0" w:space="0"/>
              <w:bottom w:val="nil"/>
              <w:right w:val="single" w:color="auto" w:sz="18"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1879" w:type="dxa"/>
            <w:tcBorders>
              <w:top w:val="single" w:color="auto" w:sz="18" w:space="0"/>
              <w:left w:val="single" w:color="auto" w:sz="18" w:space="0"/>
              <w:bottom w:val="single" w:color="auto" w:sz="6"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spacing w:val="10"/>
                <w:sz w:val="20"/>
              </w:rPr>
            </w:pPr>
            <w:r>
              <w:rPr>
                <w:rFonts w:hint="eastAsia"/>
                <w:spacing w:val="10"/>
                <w:sz w:val="20"/>
              </w:rPr>
              <w:t>中心市街地まちづくり審議会委員</w:t>
            </w:r>
          </w:p>
        </w:tc>
        <w:tc>
          <w:tcPr>
            <w:tcW w:w="1088" w:type="dxa"/>
            <w:tcBorders>
              <w:top w:val="single" w:color="auto" w:sz="18" w:space="0"/>
              <w:left w:val="none" w:color="auto" w:sz="0" w:space="0"/>
              <w:bottom w:val="single" w:color="auto" w:sz="6"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rPr>
            </w:pPr>
          </w:p>
        </w:tc>
        <w:tc>
          <w:tcPr>
            <w:tcW w:w="494" w:type="dxa"/>
            <w:tcBorders>
              <w:top w:val="single" w:color="auto" w:sz="18" w:space="0"/>
              <w:left w:val="none" w:color="auto" w:sz="0" w:space="0"/>
              <w:bottom w:val="single" w:color="auto" w:sz="6"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spacing w:val="10"/>
                <w:sz w:val="20"/>
              </w:rPr>
            </w:pPr>
            <w:r>
              <w:rPr>
                <w:rFonts w:hint="eastAsia"/>
                <w:spacing w:val="10"/>
                <w:sz w:val="20"/>
              </w:rPr>
              <w:t>日額</w:t>
            </w:r>
          </w:p>
        </w:tc>
        <w:tc>
          <w:tcPr>
            <w:tcW w:w="692" w:type="dxa"/>
            <w:tcBorders>
              <w:top w:val="single" w:color="auto" w:sz="18" w:space="0"/>
              <w:left w:val="none" w:color="auto" w:sz="0" w:space="0"/>
              <w:bottom w:val="single" w:color="auto" w:sz="6" w:space="0"/>
              <w:right w:val="single" w:color="auto" w:sz="18"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right"/>
              <w:rPr>
                <w:rFonts w:hint="default"/>
                <w:spacing w:val="10"/>
                <w:sz w:val="20"/>
              </w:rPr>
            </w:pPr>
            <w:r>
              <w:rPr>
                <w:rFonts w:hint="default"/>
                <w:spacing w:val="10"/>
                <w:sz w:val="20"/>
              </w:rPr>
              <w:t>5,200</w:t>
            </w:r>
            <w:r>
              <w:rPr>
                <w:rFonts w:hint="eastAsia"/>
                <w:spacing w:val="10"/>
                <w:sz w:val="20"/>
              </w:rPr>
              <w:t>円</w:t>
            </w:r>
          </w:p>
        </w:tc>
        <w:tc>
          <w:tcPr>
            <w:tcW w:w="400" w:type="dxa"/>
            <w:tcBorders>
              <w:top w:val="nil"/>
              <w:left w:val="single" w:color="auto" w:sz="18" w:space="0"/>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400" w:type="dxa"/>
            <w:tcBorders>
              <w:top w:val="nil"/>
              <w:left w:val="none" w:color="auto" w:sz="0" w:space="0"/>
              <w:bottom w:val="nil"/>
              <w:right w:val="single" w:color="auto" w:sz="18"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1879" w:type="dxa"/>
            <w:vMerge w:val="restart"/>
            <w:tcBorders>
              <w:top w:val="single" w:color="auto" w:sz="18" w:space="0"/>
              <w:left w:val="single" w:color="auto" w:sz="18" w:space="0"/>
              <w:bottom w:val="none" w:color="auto" w:sz="0"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spacing w:val="10"/>
                <w:sz w:val="20"/>
              </w:rPr>
            </w:pPr>
            <w:r>
              <w:rPr>
                <w:rFonts w:hint="eastAsia"/>
                <w:spacing w:val="10"/>
                <w:sz w:val="20"/>
              </w:rPr>
              <w:t>中心市街地まちづくり審議会委員</w:t>
            </w:r>
          </w:p>
        </w:tc>
        <w:tc>
          <w:tcPr>
            <w:tcW w:w="1088" w:type="dxa"/>
            <w:vMerge w:val="restart"/>
            <w:tcBorders>
              <w:top w:val="single" w:color="auto" w:sz="18" w:space="0"/>
              <w:left w:val="none" w:color="auto" w:sz="0" w:space="0"/>
              <w:bottom w:val="none" w:color="auto" w:sz="0"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rPr>
            </w:pPr>
          </w:p>
        </w:tc>
        <w:tc>
          <w:tcPr>
            <w:tcW w:w="494" w:type="dxa"/>
            <w:vMerge w:val="restart"/>
            <w:tcBorders>
              <w:top w:val="single" w:color="auto" w:sz="18" w:space="0"/>
              <w:left w:val="none" w:color="auto" w:sz="0" w:space="0"/>
              <w:bottom w:val="none" w:color="auto" w:sz="0"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spacing w:val="10"/>
                <w:sz w:val="20"/>
              </w:rPr>
            </w:pPr>
            <w:r>
              <w:rPr>
                <w:rFonts w:hint="eastAsia"/>
                <w:spacing w:val="10"/>
                <w:sz w:val="20"/>
              </w:rPr>
              <w:t>日額</w:t>
            </w:r>
          </w:p>
        </w:tc>
        <w:tc>
          <w:tcPr>
            <w:tcW w:w="692" w:type="dxa"/>
            <w:vMerge w:val="restart"/>
            <w:tcBorders>
              <w:top w:val="single" w:color="auto" w:sz="18" w:space="0"/>
              <w:left w:val="none" w:color="auto" w:sz="0" w:space="0"/>
              <w:bottom w:val="none" w:color="auto" w:sz="0" w:space="0"/>
              <w:right w:val="single" w:color="auto" w:sz="18"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right"/>
              <w:rPr>
                <w:rFonts w:hint="default"/>
                <w:spacing w:val="10"/>
                <w:sz w:val="20"/>
              </w:rPr>
            </w:pPr>
            <w:r>
              <w:rPr>
                <w:rFonts w:hint="default"/>
                <w:spacing w:val="10"/>
                <w:sz w:val="20"/>
              </w:rPr>
              <w:t>5,200</w:t>
            </w:r>
            <w:r>
              <w:rPr>
                <w:rFonts w:hint="eastAsia"/>
                <w:spacing w:val="10"/>
                <w:sz w:val="20"/>
              </w:rPr>
              <w:t>円</w:t>
            </w:r>
          </w:p>
        </w:tc>
        <w:tc>
          <w:tcPr>
            <w:tcW w:w="400" w:type="dxa"/>
            <w:tcBorders>
              <w:top w:val="nil"/>
              <w:left w:val="single" w:color="auto" w:sz="18" w:space="0"/>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r>
      <w:tr>
        <w:tblPrEx>
          <w:tblBorders>
            <w:top w:val="none" w:color="auto" w:sz="0" w:space="0"/>
            <w:left w:val="single" w:color="auto" w:sz="6" w:space="0"/>
            <w:bottom w:val="none" w:color="auto" w:sz="0" w:space="0"/>
            <w:right w:val="single" w:color="auto" w:sz="6" w:space="0"/>
            <w:insideH w:val="none" w:color="auto" w:sz="0" w:space="0"/>
            <w:insideV w:val="single" w:color="auto" w:sz="6" w:space="0"/>
          </w:tblBorders>
        </w:tblPrEx>
        <w:trPr/>
        <w:tc>
          <w:tcPr>
            <w:tcW w:w="400" w:type="dxa"/>
            <w:tcBorders>
              <w:top w:val="nil"/>
              <w:left w:val="none" w:color="auto" w:sz="0" w:space="0"/>
              <w:bottom w:val="nil"/>
              <w:right w:val="single" w:color="auto" w:sz="18"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1879" w:type="dxa"/>
            <w:tcBorders>
              <w:top w:val="single" w:color="auto" w:sz="6" w:space="0"/>
              <w:left w:val="single" w:color="auto" w:sz="18"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eastAsia"/>
                <w:spacing w:val="10"/>
                <w:sz w:val="20"/>
              </w:rPr>
            </w:pPr>
            <w:r>
              <w:rPr>
                <w:rFonts w:hint="eastAsia"/>
                <w:spacing w:val="10"/>
                <w:sz w:val="20"/>
              </w:rPr>
              <w:t>障害者計画等審議会委員</w:t>
            </w:r>
          </w:p>
        </w:tc>
        <w:tc>
          <w:tcPr>
            <w:tcW w:w="1088" w:type="dxa"/>
            <w:tcBorders>
              <w:top w:val="single" w:color="auto" w:sz="6"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rPr>
            </w:pPr>
          </w:p>
        </w:tc>
        <w:tc>
          <w:tcPr>
            <w:tcW w:w="494" w:type="dxa"/>
            <w:tcBorders>
              <w:top w:val="single" w:color="auto" w:sz="6"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eastAsia"/>
                <w:spacing w:val="10"/>
                <w:sz w:val="20"/>
              </w:rPr>
            </w:pPr>
            <w:r>
              <w:rPr>
                <w:rFonts w:hint="eastAsia"/>
                <w:spacing w:val="10"/>
                <w:sz w:val="20"/>
              </w:rPr>
              <w:t>日額</w:t>
            </w:r>
          </w:p>
        </w:tc>
        <w:tc>
          <w:tcPr>
            <w:tcW w:w="692" w:type="dxa"/>
            <w:tcBorders>
              <w:top w:val="single" w:color="auto" w:sz="6" w:space="0"/>
              <w:left w:val="none" w:color="auto" w:sz="0" w:space="0"/>
              <w:bottom w:val="single" w:color="auto" w:sz="18" w:space="0"/>
              <w:right w:val="single" w:color="auto" w:sz="18"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right"/>
              <w:rPr>
                <w:rFonts w:hint="default"/>
                <w:spacing w:val="10"/>
                <w:sz w:val="20"/>
              </w:rPr>
            </w:pPr>
            <w:r>
              <w:rPr>
                <w:rFonts w:hint="eastAsia"/>
                <w:spacing w:val="10"/>
                <w:sz w:val="20"/>
              </w:rPr>
              <w:t>5,200</w:t>
            </w:r>
            <w:r>
              <w:rPr>
                <w:rFonts w:hint="eastAsia"/>
                <w:spacing w:val="10"/>
                <w:sz w:val="20"/>
              </w:rPr>
              <w:t>円</w:t>
            </w:r>
          </w:p>
        </w:tc>
        <w:tc>
          <w:tcPr>
            <w:tcW w:w="400" w:type="dxa"/>
            <w:tcBorders>
              <w:top w:val="nil"/>
              <w:left w:val="single" w:color="auto" w:sz="18" w:space="0"/>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400" w:type="dxa"/>
            <w:tcBorders>
              <w:top w:val="nil"/>
              <w:left w:val="none" w:color="auto" w:sz="0" w:space="0"/>
              <w:bottom w:val="nil"/>
              <w:right w:val="single" w:color="auto" w:sz="18"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1879" w:type="dxa"/>
            <w:vMerge w:val="continue"/>
            <w:tcBorders>
              <w:top w:val="none" w:color="auto" w:sz="0" w:space="0"/>
              <w:left w:val="single" w:color="auto" w:sz="18"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eastAsia"/>
                <w:spacing w:val="10"/>
                <w:sz w:val="20"/>
              </w:rPr>
            </w:pPr>
          </w:p>
        </w:tc>
        <w:tc>
          <w:tcPr>
            <w:tcW w:w="1088" w:type="dxa"/>
            <w:vMerge w:val="continue"/>
            <w:tcBorders>
              <w:top w:val="none" w:color="auto" w:sz="0"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default"/>
              </w:rPr>
            </w:pPr>
          </w:p>
        </w:tc>
        <w:tc>
          <w:tcPr>
            <w:tcW w:w="494" w:type="dxa"/>
            <w:vMerge w:val="continue"/>
            <w:tcBorders>
              <w:top w:val="none" w:color="auto" w:sz="0" w:space="0"/>
              <w:left w:val="none" w:color="auto" w:sz="0" w:space="0"/>
              <w:bottom w:val="single" w:color="auto" w:sz="18"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left"/>
              <w:rPr>
                <w:rFonts w:hint="eastAsia"/>
                <w:spacing w:val="10"/>
                <w:sz w:val="20"/>
              </w:rPr>
            </w:pPr>
          </w:p>
        </w:tc>
        <w:tc>
          <w:tcPr>
            <w:tcW w:w="692" w:type="dxa"/>
            <w:vMerge w:val="continue"/>
            <w:tcBorders>
              <w:top w:val="none" w:color="auto" w:sz="0" w:space="0"/>
              <w:left w:val="none" w:color="auto" w:sz="0" w:space="0"/>
              <w:bottom w:val="single" w:color="auto" w:sz="18" w:space="0"/>
              <w:right w:val="single" w:color="auto" w:sz="18" w:space="0"/>
              <w:tl2br w:val="none" w:color="auto" w:sz="0" w:space="0"/>
              <w:tr2bl w:val="none" w:color="auto" w:sz="0" w:space="0"/>
            </w:tcBorders>
            <w:shd w:val="clear" w:color="auto" w:fill="FFFFFF"/>
            <w:vAlign w:val="top"/>
          </w:tcPr>
          <w:p>
            <w:pPr>
              <w:pStyle w:val="0"/>
              <w:autoSpaceDE w:val="0"/>
              <w:autoSpaceDN w:val="0"/>
              <w:adjustRightInd w:val="0"/>
              <w:spacing w:line="329" w:lineRule="atLeast"/>
              <w:jc w:val="right"/>
              <w:rPr>
                <w:rFonts w:hint="default"/>
                <w:spacing w:val="10"/>
                <w:sz w:val="20"/>
              </w:rPr>
            </w:pPr>
          </w:p>
        </w:tc>
        <w:tc>
          <w:tcPr>
            <w:tcW w:w="400" w:type="dxa"/>
            <w:tcBorders>
              <w:top w:val="nil"/>
              <w:left w:val="single" w:color="auto" w:sz="18" w:space="0"/>
              <w:bottom w:val="nil"/>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r>
      <w:tr>
        <w:tblPrEx>
          <w:tblBorders>
            <w:top w:val="none" w:color="auto" w:sz="0" w:space="0"/>
            <w:left w:val="single" w:color="auto" w:sz="6" w:space="0"/>
            <w:bottom w:val="none" w:color="auto" w:sz="0" w:space="0"/>
            <w:right w:val="single" w:color="auto" w:sz="6" w:space="0"/>
            <w:insideH w:val="none" w:color="auto" w:sz="0" w:space="0"/>
            <w:insideV w:val="single" w:color="auto" w:sz="6" w:space="0"/>
          </w:tblBorders>
        </w:tblPrEx>
        <w:trPr/>
        <w:tc>
          <w:tcPr>
            <w:tcW w:w="4953" w:type="dxa"/>
            <w:gridSpan w:val="6"/>
            <w:tcBorders>
              <w:top w:val="nil"/>
              <w:left w:val="none" w:color="auto" w:sz="0" w:space="0"/>
              <w:bottom w:val="single" w:color="auto" w:sz="6"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c>
          <w:tcPr>
            <w:tcW w:w="4953" w:type="dxa"/>
            <w:gridSpan w:val="6"/>
            <w:tcBorders>
              <w:top w:val="nil"/>
              <w:left w:val="none" w:color="auto" w:sz="0" w:space="0"/>
              <w:bottom w:val="single" w:color="auto" w:sz="6" w:space="0"/>
              <w:right w:val="none" w:color="auto" w:sz="0" w:space="0"/>
              <w:tl2br w:val="none" w:color="auto" w:sz="0" w:space="0"/>
              <w:tr2bl w:val="none" w:color="auto" w:sz="0" w:space="0"/>
            </w:tcBorders>
            <w:shd w:val="clear" w:color="auto" w:fill="FFFFFF"/>
            <w:vAlign w:val="top"/>
          </w:tcPr>
          <w:p>
            <w:pPr>
              <w:pStyle w:val="0"/>
              <w:autoSpaceDE w:val="0"/>
              <w:autoSpaceDN w:val="0"/>
              <w:adjustRightInd w:val="0"/>
              <w:jc w:val="left"/>
              <w:rPr>
                <w:rFonts w:hint="default"/>
                <w:spacing w:val="10"/>
                <w:sz w:val="20"/>
              </w:rPr>
            </w:pPr>
          </w:p>
        </w:tc>
      </w:tr>
    </w:tbl>
    <w:p>
      <w:pPr>
        <w:pStyle w:val="0"/>
        <w:rPr>
          <w:rFonts w:hint="default"/>
        </w:rPr>
      </w:pPr>
    </w:p>
    <w:p>
      <w:pPr>
        <w:pStyle w:val="0"/>
        <w:overflowPunct w:val="0"/>
        <w:autoSpaceDE w:val="0"/>
        <w:autoSpaceDN w:val="0"/>
        <w:adjustRightInd w:val="0"/>
        <w:jc w:val="left"/>
        <w:rPr>
          <w:rFonts w:hint="eastAsia"/>
          <w:color w:val="000000"/>
        </w:rPr>
      </w:pPr>
    </w:p>
    <w:sectPr>
      <w:footerReference r:id="rId6" w:type="even"/>
      <w:footerReference r:id="rId7" w:type="default"/>
      <w:footerReference r:id="rId5" w:type="first"/>
      <w:type w:val="continuous"/>
      <w:pgSz w:w="11906" w:h="16838"/>
      <w:pgMar w:top="998" w:right="998" w:bottom="998" w:left="998" w:header="851" w:footer="680" w:gutter="0"/>
      <w:pgNumType w:start="1"/>
      <w:cols w:space="720"/>
      <w:textDirection w:val="lrTb"/>
      <w:docGrid w:type="linesAndChars" w:linePitch="455" w:charSpace="34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0"/>
        <w:rFonts w:hint="default"/>
      </w:rPr>
      <w:t>14</w:t>
    </w:r>
    <w:r>
      <w:rPr>
        <w:rFonts w:hint="eastAsia"/>
      </w:rPr>
      <w:fldChar w:fldCharType="end"/>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4"/>
      <w:rPr>
        <w:rStyle w:val="20"/>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0"/>
        <w:rFonts w:hint="default"/>
      </w:rPr>
      <w:t>15</w:t>
    </w:r>
    <w:r>
      <w:rPr>
        <w:rFonts w:hint="eastAsia"/>
      </w:rPr>
      <w:fldChar w:fldCharType="end"/>
    </w:r>
  </w:p>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21"/>
  <w:drawingGridVerticalSpacing w:val="455"/>
  <w:displayHorizont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paragraph" w:styleId="18">
    <w:name w:val="Body Text Indent"/>
    <w:basedOn w:val="0"/>
    <w:next w:val="18"/>
    <w:link w:val="0"/>
    <w:uiPriority w:val="0"/>
    <w:pPr>
      <w:ind w:left="180" w:hanging="180"/>
    </w:pPr>
  </w:style>
  <w:style w:type="paragraph" w:styleId="19">
    <w:name w:val="Body Text"/>
    <w:basedOn w:val="0"/>
    <w:next w:val="19"/>
    <w:link w:val="0"/>
    <w:uiPriority w:val="0"/>
    <w:pPr>
      <w:jc w:val="center"/>
    </w:pPr>
    <w:rPr>
      <w:rFonts w:ascii="ＭＳ 明朝" w:hAnsi="ＭＳ 明朝"/>
      <w:sz w:val="32"/>
    </w:rPr>
  </w:style>
  <w:style w:type="character" w:styleId="20">
    <w:name w:val="page number"/>
    <w:basedOn w:val="10"/>
    <w:next w:val="20"/>
    <w:link w:val="0"/>
    <w:uiPriority w:val="0"/>
  </w:style>
  <w:style w:type="character" w:styleId="21">
    <w:name w:val="Hyperlink"/>
    <w:next w:val="21"/>
    <w:link w:val="0"/>
    <w:uiPriority w:val="0"/>
    <w:rPr>
      <w:color w:val="0000FF"/>
      <w:u w:val="single" w:color="auto"/>
    </w:rPr>
  </w:style>
  <w:style w:type="paragraph" w:styleId="22">
    <w:name w:val="Body Text Indent 2"/>
    <w:basedOn w:val="0"/>
    <w:next w:val="22"/>
    <w:link w:val="0"/>
    <w:uiPriority w:val="0"/>
    <w:pPr>
      <w:ind w:left="962" w:leftChars="355" w:firstLine="390" w:firstLineChars="144"/>
    </w:pPr>
    <w:rPr>
      <w:rFonts w:ascii="ＭＳ 明朝" w:hAnsi="ＭＳ 明朝"/>
    </w:rPr>
  </w:style>
  <w:style w:type="paragraph" w:styleId="23">
    <w:name w:val="Block Text"/>
    <w:basedOn w:val="0"/>
    <w:next w:val="23"/>
    <w:link w:val="0"/>
    <w:uiPriority w:val="0"/>
    <w:pPr>
      <w:autoSpaceDE w:val="0"/>
      <w:autoSpaceDN w:val="0"/>
      <w:adjustRightInd w:val="0"/>
      <w:ind w:left="220" w:right="2" w:rightChars="1" w:hanging="220"/>
      <w:jc w:val="left"/>
    </w:pPr>
    <w:rPr>
      <w:rFonts w:ascii="ＭＳ 明朝" w:hAnsi="ＭＳ 明朝"/>
      <w:color w:val="000000"/>
      <w:kern w:val="0"/>
    </w:rPr>
  </w:style>
  <w:style w:type="paragraph" w:styleId="24">
    <w:name w:val="Body Text Indent 3"/>
    <w:basedOn w:val="0"/>
    <w:next w:val="24"/>
    <w:link w:val="0"/>
    <w:uiPriority w:val="0"/>
    <w:pPr>
      <w:ind w:left="1386" w:hanging="1386" w:hangingChars="511"/>
    </w:pPr>
    <w:rPr>
      <w:rFonts w:ascii="ＭＳ 明朝" w:hAnsi="ＭＳ 明朝"/>
      <w:b w:val="1"/>
    </w:rPr>
  </w:style>
  <w:style w:type="paragraph" w:styleId="25">
    <w:name w:val="Balloon Text"/>
    <w:basedOn w:val="0"/>
    <w:next w:val="25"/>
    <w:link w:val="0"/>
    <w:uiPriority w:val="0"/>
    <w:semiHidden/>
    <w:rPr>
      <w:rFonts w:ascii="Arial" w:hAnsi="Arial" w:eastAsia="ＭＳ ゴシック"/>
      <w:sz w:val="18"/>
    </w:rPr>
  </w:style>
  <w:style w:type="character" w:styleId="26">
    <w:name w:val="annotation reference"/>
    <w:next w:val="26"/>
    <w:link w:val="0"/>
    <w:uiPriority w:val="0"/>
    <w:semiHidden/>
    <w:rPr>
      <w:sz w:val="18"/>
    </w:rPr>
  </w:style>
  <w:style w:type="paragraph" w:styleId="27">
    <w:name w:val="annotation text"/>
    <w:basedOn w:val="0"/>
    <w:next w:val="27"/>
    <w:link w:val="28"/>
    <w:uiPriority w:val="0"/>
    <w:semiHidden/>
    <w:pPr>
      <w:jc w:val="left"/>
    </w:pPr>
  </w:style>
  <w:style w:type="character" w:styleId="28" w:customStyle="1">
    <w:name w:val="コメント文字列 (文字)"/>
    <w:next w:val="28"/>
    <w:link w:val="27"/>
    <w:uiPriority w:val="0"/>
    <w:rPr>
      <w:rFonts w:ascii="ＭＳ 明朝" w:hAnsi="ＭＳ 明朝"/>
      <w:sz w:val="24"/>
    </w:rPr>
  </w:style>
  <w:style w:type="paragraph" w:styleId="29">
    <w:name w:val="annotation subject"/>
    <w:basedOn w:val="27"/>
    <w:next w:val="27"/>
    <w:link w:val="30"/>
    <w:uiPriority w:val="0"/>
    <w:semiHidden/>
    <w:rPr>
      <w:b w:val="1"/>
    </w:rPr>
  </w:style>
  <w:style w:type="character" w:styleId="30" w:customStyle="1">
    <w:name w:val="コメント内容 (文字)"/>
    <w:next w:val="30"/>
    <w:link w:val="29"/>
    <w:uiPriority w:val="0"/>
    <w:rPr>
      <w:rFonts w:ascii="ＭＳ 明朝" w:hAnsi="ＭＳ 明朝"/>
      <w:b w:val="1"/>
      <w:sz w:val="24"/>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2</Pages>
  <Words>14</Words>
  <Characters>1146</Characters>
  <Application>JUST Note</Application>
  <Lines>294</Lines>
  <Paragraphs>56</Paragraphs>
  <CharactersWithSpaces>1192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2026-08-26T07:22:00Z</dcterms:created>
  <dcterms:modified xsi:type="dcterms:W3CDTF">2026-08-26T07:22:00Z</dcterms:modified>
  <cp:revision>0</cp:revision>
</cp:coreProperties>
</file>