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left" w:leader="none" w:pos="3120"/>
        </w:tabs>
        <w:spacing w:line="360" w:lineRule="exact"/>
        <w:rPr>
          <w:rFonts w:hint="default"/>
          <w:color w:val="000000"/>
          <w:sz w:val="22"/>
        </w:rPr>
      </w:pPr>
      <w:r>
        <w:rPr>
          <w:rFonts w:hint="eastAsia"/>
          <w:color w:val="000000"/>
        </w:rPr>
        <w:t>様式第２号</w:t>
      </w:r>
      <w:r>
        <w:rPr>
          <w:rFonts w:hint="eastAsia"/>
        </w:rPr>
        <w:t xml:space="preserve">  </w:t>
      </w:r>
    </w:p>
    <w:p>
      <w:pPr>
        <w:pStyle w:val="0"/>
        <w:spacing w:line="280" w:lineRule="exact"/>
        <w:jc w:val="center"/>
        <w:rPr>
          <w:rFonts w:hint="default"/>
          <w:color w:val="000000"/>
        </w:rPr>
      </w:pPr>
      <w:r>
        <w:rPr>
          <w:rFonts w:hint="eastAsia"/>
          <w:color w:val="000000"/>
        </w:rPr>
        <w:t>誓約書</w:t>
      </w:r>
    </w:p>
    <w:p>
      <w:pPr>
        <w:pStyle w:val="0"/>
        <w:jc w:val="center"/>
        <w:rPr>
          <w:rFonts w:hint="default"/>
        </w:rPr>
      </w:pPr>
      <w:bookmarkStart w:id="0" w:name="_GoBack"/>
      <w:bookmarkEnd w:id="0"/>
    </w:p>
    <w:p>
      <w:pPr>
        <w:pStyle w:val="0"/>
        <w:ind w:firstLine="241" w:firstLineChars="100"/>
        <w:rPr>
          <w:rFonts w:hint="default"/>
        </w:rPr>
      </w:pPr>
      <w:r>
        <w:rPr>
          <w:rFonts w:hint="eastAsia"/>
        </w:rPr>
        <w:t>春日部市営農型太陽光発電（ソーラーシェアリング）補助事業候補者の公募に参加するに当たり、以下の事項について誓約します。</w:t>
      </w:r>
    </w:p>
    <w:p>
      <w:pPr>
        <w:pStyle w:val="0"/>
        <w:ind w:left="241" w:hanging="241" w:hangingChars="100"/>
        <w:rPr>
          <w:rFonts w:hint="default"/>
          <w:sz w:val="22"/>
        </w:rPr>
      </w:pPr>
      <w:r>
        <w:rPr>
          <w:rFonts w:hint="eastAsia"/>
        </w:rPr>
        <w:t>１　春日部市営農型太陽光発電（ソーラーシェアリング）補助事業候補者公募参加申請書（様式第１号）及び関係書類について不足なく提出すること。</w:t>
      </w:r>
    </w:p>
    <w:p>
      <w:pPr>
        <w:pStyle w:val="0"/>
        <w:ind w:left="221" w:hanging="221" w:hangingChars="100"/>
        <w:rPr>
          <w:rFonts w:hint="default"/>
          <w:sz w:val="22"/>
        </w:rPr>
      </w:pPr>
      <w:r>
        <w:rPr>
          <w:rFonts w:hint="eastAsia"/>
          <w:sz w:val="22"/>
        </w:rPr>
        <w:t>　　関係書類一覧</w:t>
      </w:r>
    </w:p>
    <w:p>
      <w:pPr>
        <w:pStyle w:val="0"/>
        <w:spacing w:line="0" w:lineRule="atLeast"/>
        <w:ind w:left="221" w:hanging="221" w:hangingChars="100"/>
        <w:rPr>
          <w:rFonts w:hint="default"/>
          <w:sz w:val="22"/>
        </w:rPr>
      </w:pPr>
      <w:r>
        <w:rPr>
          <w:rFonts w:hint="eastAsia"/>
          <w:sz w:val="22"/>
        </w:rPr>
        <w:t>　　①</w:t>
      </w:r>
      <w:r>
        <w:rPr>
          <w:rFonts w:hint="eastAsia"/>
          <w:sz w:val="22"/>
        </w:rPr>
        <w:t xml:space="preserve"> </w:t>
      </w:r>
      <w:r>
        <w:rPr>
          <w:rFonts w:hint="eastAsia"/>
          <w:sz w:val="22"/>
        </w:rPr>
        <w:t>　誓約書（様式第２号）</w:t>
      </w:r>
    </w:p>
    <w:p>
      <w:pPr>
        <w:pStyle w:val="0"/>
        <w:spacing w:line="0" w:lineRule="atLeast"/>
        <w:ind w:left="221" w:hanging="221" w:hangingChars="100"/>
        <w:rPr>
          <w:rFonts w:hint="default"/>
          <w:sz w:val="22"/>
        </w:rPr>
      </w:pPr>
      <w:r>
        <w:rPr>
          <w:rFonts w:hint="eastAsia"/>
          <w:sz w:val="22"/>
        </w:rPr>
        <w:t>　　②</w:t>
      </w:r>
      <w:r>
        <w:rPr>
          <w:rFonts w:hint="eastAsia"/>
          <w:sz w:val="22"/>
        </w:rPr>
        <w:t xml:space="preserve"> </w:t>
      </w:r>
      <w:r>
        <w:rPr>
          <w:rFonts w:hint="eastAsia"/>
          <w:sz w:val="22"/>
        </w:rPr>
        <w:t>　事業計画書（様式第３号）</w:t>
      </w:r>
    </w:p>
    <w:p>
      <w:pPr>
        <w:pStyle w:val="0"/>
        <w:spacing w:line="0" w:lineRule="atLeast"/>
        <w:ind w:left="0" w:leftChars="0" w:hanging="995" w:hangingChars="450"/>
        <w:rPr>
          <w:rFonts w:hint="default"/>
          <w:sz w:val="22"/>
        </w:rPr>
      </w:pPr>
      <w:r>
        <w:rPr>
          <w:rFonts w:hint="eastAsia"/>
          <w:sz w:val="22"/>
        </w:rPr>
        <w:t>　　②</w:t>
      </w:r>
      <w:r>
        <w:rPr>
          <w:rFonts w:hint="eastAsia"/>
          <w:sz w:val="22"/>
        </w:rPr>
        <w:t xml:space="preserve"> </w:t>
      </w:r>
      <w:r>
        <w:rPr>
          <w:rFonts w:hint="eastAsia"/>
          <w:sz w:val="22"/>
        </w:rPr>
        <w:t>　補助対象設備を</w:t>
      </w:r>
      <w:r>
        <w:rPr>
          <w:rFonts w:hint="eastAsia"/>
          <w:sz w:val="22"/>
        </w:rPr>
        <w:t>PPA</w:t>
      </w:r>
      <w:r>
        <w:rPr>
          <w:rFonts w:hint="eastAsia"/>
          <w:sz w:val="22"/>
        </w:rPr>
        <w:t>又はリースにより設置する場合、契約書</w:t>
      </w:r>
      <w:r>
        <w:rPr>
          <w:rFonts w:hint="eastAsia"/>
          <w:sz w:val="22"/>
        </w:rPr>
        <w:t>(</w:t>
      </w:r>
      <w:r>
        <w:rPr>
          <w:rFonts w:hint="eastAsia"/>
          <w:sz w:val="22"/>
        </w:rPr>
        <w:t>案</w:t>
      </w:r>
      <w:r>
        <w:rPr>
          <w:rFonts w:hint="eastAsia"/>
          <w:sz w:val="22"/>
        </w:rPr>
        <w:t>)</w:t>
      </w:r>
      <w:r>
        <w:rPr>
          <w:rFonts w:hint="eastAsia"/>
          <w:sz w:val="22"/>
        </w:rPr>
        <w:t>と補助金額相当分がサービス料金又はリース料金から控除されることを証明できる書類</w:t>
      </w:r>
    </w:p>
    <w:p>
      <w:pPr>
        <w:pStyle w:val="0"/>
        <w:ind w:left="241" w:hanging="241" w:hangingChars="100"/>
        <w:rPr>
          <w:rFonts w:hint="default"/>
        </w:rPr>
      </w:pPr>
      <w:r>
        <w:rPr>
          <w:rFonts w:hint="eastAsia"/>
        </w:rPr>
        <w:t>２　国実施要領別紙２地域脱炭素移行・再エネ推進交付金交付対象事業となる事業（重点対策加速化事業）の２</w:t>
      </w:r>
      <w:r>
        <w:rPr>
          <w:rFonts w:hint="eastAsia"/>
        </w:rPr>
        <w:t>.</w:t>
      </w:r>
      <w:r>
        <w:rPr>
          <w:rFonts w:hint="eastAsia"/>
        </w:rPr>
        <w:t>交付対象事業の内容を確認し、設置設備が交付要件を満たすことを確認すること。</w:t>
      </w:r>
    </w:p>
    <w:p>
      <w:pPr>
        <w:pStyle w:val="0"/>
        <w:ind w:left="241" w:hanging="241" w:hangingChars="100"/>
        <w:rPr>
          <w:rFonts w:hint="default"/>
        </w:rPr>
      </w:pPr>
      <w:r>
        <w:rPr>
          <w:rFonts w:hint="eastAsia"/>
        </w:rPr>
        <w:t>３　暴力団員による不当な行為の防止等に関する法律（平成３年法律第７７号）第２条第６号に規定する暴力団員が役員若しくは代表者として若しくは実質的に経営に関与している事業者又は同条第２号に規定する暴力団若しくは暴力団員と関係を有している事業者でないこと。</w:t>
      </w:r>
    </w:p>
    <w:p>
      <w:pPr>
        <w:pStyle w:val="0"/>
        <w:ind w:left="239" w:hanging="239" w:hangingChars="99"/>
        <w:rPr>
          <w:rFonts w:hint="default"/>
        </w:rPr>
      </w:pPr>
      <w:r>
        <w:rPr>
          <w:rFonts w:hint="eastAsia"/>
        </w:rPr>
        <w:t>４　法定耐用年数を経過するまでの間、交付対象事業により取得した温室効果ガス排出削減効果について</w:t>
      </w:r>
      <w:r>
        <w:rPr>
          <w:rFonts w:hint="eastAsia"/>
        </w:rPr>
        <w:t>J-</w:t>
      </w:r>
      <w:r>
        <w:rPr>
          <w:rFonts w:hint="eastAsia"/>
        </w:rPr>
        <w:t>クレジット制度への登録を行わないこと。</w:t>
      </w:r>
    </w:p>
    <w:p>
      <w:pPr>
        <w:pStyle w:val="0"/>
        <w:ind w:left="263" w:hanging="263" w:hangingChars="109"/>
        <w:rPr>
          <w:rFonts w:hint="default"/>
        </w:rPr>
      </w:pPr>
      <w:r>
        <w:rPr>
          <w:rFonts w:hint="eastAsia"/>
        </w:rPr>
        <w:t>５　再生可能エネルギー電気の利用の促進に関する特別措置法（平成</w:t>
      </w:r>
      <w:r>
        <w:rPr>
          <w:rFonts w:hint="eastAsia"/>
        </w:rPr>
        <w:t>23</w:t>
      </w:r>
      <w:r>
        <w:rPr>
          <w:rFonts w:hint="eastAsia"/>
        </w:rPr>
        <w:t>年法律第</w:t>
      </w:r>
      <w:r>
        <w:rPr>
          <w:rFonts w:hint="eastAsia"/>
        </w:rPr>
        <w:t>108</w:t>
      </w:r>
      <w:r>
        <w:rPr>
          <w:rFonts w:hint="eastAsia"/>
        </w:rPr>
        <w:t>号。以下「再エネ特措法」という。）に基づく固定価格買取制度（以下「</w:t>
      </w:r>
      <w:r>
        <w:rPr>
          <w:rFonts w:hint="eastAsia"/>
        </w:rPr>
        <w:t>FIT</w:t>
      </w:r>
      <w:r>
        <w:rPr>
          <w:rFonts w:hint="eastAsia"/>
        </w:rPr>
        <w:t>」という。）の認定又は</w:t>
      </w:r>
      <w:r>
        <w:rPr>
          <w:rFonts w:hint="eastAsia"/>
        </w:rPr>
        <w:t>FIP(Feed in Premium)</w:t>
      </w:r>
      <w:r>
        <w:rPr>
          <w:rFonts w:hint="eastAsia"/>
        </w:rPr>
        <w:t>制度の認定を取得しないこと。</w:t>
      </w:r>
    </w:p>
    <w:p>
      <w:pPr>
        <w:pStyle w:val="0"/>
        <w:ind w:left="263" w:hanging="263" w:hangingChars="109"/>
        <w:rPr>
          <w:rFonts w:hint="default"/>
        </w:rPr>
      </w:pPr>
      <w:r>
        <w:rPr>
          <w:rFonts w:hint="eastAsia"/>
        </w:rPr>
        <w:t>６　電気事業法（昭和３９年法律第１７０号）第２条第１項第５号ロに定める接続供給（自己託送）を行わないものであること。</w:t>
      </w:r>
    </w:p>
    <w:p>
      <w:pPr>
        <w:pStyle w:val="0"/>
        <w:ind w:left="263" w:hanging="263" w:hangingChars="109"/>
        <w:rPr>
          <w:rFonts w:hint="default"/>
        </w:rPr>
      </w:pPr>
      <w:r>
        <w:rPr>
          <w:rFonts w:hint="eastAsia"/>
        </w:rPr>
        <w:t>７　設置した設備の発電等によって得られる二酸化炭素の排出削減効果に関する付加価値を、その電力の供給を受けて使用する者に帰属させること。</w:t>
      </w:r>
    </w:p>
    <w:p>
      <w:pPr>
        <w:pStyle w:val="0"/>
        <w:ind w:left="263" w:hanging="263" w:hangingChars="109"/>
        <w:rPr>
          <w:rFonts w:hint="default"/>
        </w:rPr>
      </w:pPr>
      <w:r>
        <w:rPr>
          <w:rFonts w:hint="eastAsia"/>
        </w:rPr>
        <w:t>８　地域住民と適切なコミュニケーションを図るとともに、地域住民に十分配慮して事業を実施するよう努めること。</w:t>
      </w:r>
    </w:p>
    <w:p>
      <w:pPr>
        <w:pStyle w:val="0"/>
        <w:ind w:left="263" w:hanging="263" w:hangingChars="109"/>
        <w:rPr>
          <w:rFonts w:hint="default"/>
        </w:rPr>
      </w:pPr>
      <w:r>
        <w:rPr>
          <w:rFonts w:hint="eastAsia"/>
        </w:rPr>
        <w:t>９　関係法令及び条例の規定に従い、土地開発等の設計及び施工を行うこと。</w:t>
      </w:r>
    </w:p>
    <w:p>
      <w:pPr>
        <w:pStyle w:val="0"/>
        <w:ind w:left="263" w:hanging="263" w:hangingChars="109"/>
        <w:rPr>
          <w:rFonts w:hint="default"/>
        </w:rPr>
      </w:pPr>
      <w:r>
        <w:rPr>
          <w:rFonts w:hint="eastAsia"/>
        </w:rPr>
        <w:t>10</w:t>
      </w:r>
      <w:r>
        <w:rPr>
          <w:rFonts w:hint="eastAsia"/>
        </w:rPr>
        <w:t>　防災、環境保全、景観保全を考慮し、補助対象設備の設計を行うよう努めること。</w:t>
      </w:r>
    </w:p>
    <w:p>
      <w:pPr>
        <w:pStyle w:val="0"/>
        <w:ind w:left="234" w:hanging="234" w:hangingChars="97"/>
        <w:rPr>
          <w:rFonts w:hint="default"/>
        </w:rPr>
      </w:pPr>
      <w:r>
        <w:rPr>
          <w:rFonts w:hint="eastAsia"/>
        </w:rPr>
        <w:t>11</w:t>
      </w:r>
      <w:r>
        <w:rPr>
          <w:rFonts w:hint="eastAsia"/>
        </w:rPr>
        <w:t>　防災、環境保全、景観保全の観点から計画段階で予期しなかった問題が生じた場合、適切な対策を講じ、災害防止や自然破壊、近隣への配慮を行うよう努めること。</w:t>
      </w:r>
    </w:p>
    <w:p>
      <w:pPr>
        <w:pStyle w:val="0"/>
        <w:ind w:left="263" w:hanging="263" w:hangingChars="109"/>
        <w:rPr>
          <w:rFonts w:hint="default"/>
        </w:rPr>
      </w:pPr>
      <w:r>
        <w:rPr>
          <w:rFonts w:hint="eastAsia"/>
        </w:rPr>
        <w:t>12</w:t>
      </w:r>
      <w:r>
        <w:rPr>
          <w:rFonts w:hint="eastAsia"/>
        </w:rPr>
        <w:t>　一の場所において、設備を複数の設備に分割しないこと。</w:t>
      </w:r>
    </w:p>
    <w:p>
      <w:pPr>
        <w:pStyle w:val="0"/>
        <w:ind w:left="263" w:hanging="263" w:hangingChars="109"/>
        <w:rPr>
          <w:rFonts w:hint="default"/>
        </w:rPr>
      </w:pPr>
      <w:r>
        <w:rPr>
          <w:rFonts w:hint="eastAsia"/>
        </w:rPr>
        <w:br w:type="page"/>
      </w:r>
    </w:p>
    <w:p>
      <w:pPr>
        <w:pStyle w:val="0"/>
        <w:ind w:left="263" w:hanging="263" w:hangingChars="109"/>
        <w:rPr>
          <w:rFonts w:hint="default"/>
        </w:rPr>
      </w:pPr>
      <w:r>
        <w:rPr>
          <w:rFonts w:hint="eastAsia"/>
        </w:rPr>
        <w:t>13</w:t>
      </w:r>
      <w:r>
        <w:rPr>
          <w:rFonts w:hint="eastAsia"/>
        </w:rPr>
        <w:t>　</w:t>
      </w:r>
      <w:r>
        <w:rPr>
          <w:rFonts w:hint="eastAsia"/>
        </w:rPr>
        <w:t>20kW</w:t>
      </w:r>
      <w:r>
        <w:rPr>
          <w:rFonts w:hint="eastAsia"/>
        </w:rPr>
        <w:t>以上の太陽光発電設備の場合、発電設備を囲う柵塀を設置するとともに、柵塀等の外側の見えやすい場所に標識（補助対象事業者の名称・代表者氏名・住所・連絡先電話番号、保守点検責任者の名称・氏名・住所・連絡先電話番号、運転開始年月日、本補助金により設置した旨を記載したもの）を掲示すること。</w:t>
      </w:r>
    </w:p>
    <w:p>
      <w:pPr>
        <w:pStyle w:val="0"/>
        <w:ind w:left="263" w:hanging="263" w:hangingChars="109"/>
        <w:rPr>
          <w:rFonts w:hint="default"/>
        </w:rPr>
      </w:pPr>
      <w:r>
        <w:rPr>
          <w:rFonts w:hint="eastAsia"/>
        </w:rPr>
        <w:t>14</w:t>
      </w:r>
      <w:r>
        <w:rPr>
          <w:rFonts w:hint="eastAsia"/>
        </w:rPr>
        <w:t>　電気事業法に基づく技術基準適合義務、立入検査、報告徴収に対する資料の提出に対応するため、発電設備の設計図書や竣工試験データを含む完成図書を作成し、適切な方法で管理及び保存すること。</w:t>
      </w:r>
    </w:p>
    <w:p>
      <w:pPr>
        <w:pStyle w:val="0"/>
        <w:ind w:left="263" w:hanging="263" w:hangingChars="109"/>
        <w:rPr>
          <w:rFonts w:hint="default"/>
        </w:rPr>
      </w:pPr>
      <w:r>
        <w:rPr>
          <w:rFonts w:hint="eastAsia"/>
        </w:rPr>
        <w:t>15</w:t>
      </w:r>
      <w:r>
        <w:rPr>
          <w:rFonts w:hint="eastAsia"/>
        </w:rPr>
        <w:t>　設備の設置後、適切な保守点検及び維持管理を実施すること。</w:t>
      </w:r>
    </w:p>
    <w:p>
      <w:pPr>
        <w:pStyle w:val="0"/>
        <w:ind w:left="234" w:hanging="234" w:hangingChars="97"/>
        <w:rPr>
          <w:rFonts w:hint="default"/>
        </w:rPr>
      </w:pPr>
      <w:r>
        <w:rPr>
          <w:rFonts w:hint="eastAsia"/>
        </w:rPr>
        <w:t>16</w:t>
      </w:r>
      <w:r>
        <w:rPr>
          <w:rFonts w:hint="eastAsia"/>
        </w:rPr>
        <w:t>　接続契約を締結している一般送配電事業者又は特定送配電事業者から国が定める出力制御の指針に基づいた出力制御の要請を受けたときは、適切な方法により協力すること。</w:t>
      </w:r>
    </w:p>
    <w:p>
      <w:pPr>
        <w:pStyle w:val="0"/>
        <w:ind w:left="468" w:hanging="468" w:hangingChars="194"/>
        <w:rPr>
          <w:rFonts w:hint="default"/>
        </w:rPr>
      </w:pPr>
      <w:r>
        <w:rPr>
          <w:rFonts w:hint="eastAsia"/>
        </w:rPr>
        <w:t>17</w:t>
      </w:r>
      <w:r>
        <w:rPr>
          <w:rFonts w:hint="eastAsia"/>
        </w:rPr>
        <w:t>　補助対象設備を処分する際は、関係法令（条例を含む。）の規定を遵守すること。</w:t>
      </w:r>
    </w:p>
    <w:p>
      <w:pPr>
        <w:pStyle w:val="0"/>
        <w:ind w:left="234" w:hanging="234" w:hangingChars="97"/>
        <w:rPr>
          <w:rFonts w:hint="default"/>
        </w:rPr>
      </w:pPr>
      <w:r>
        <w:rPr>
          <w:rFonts w:hint="eastAsia"/>
        </w:rPr>
        <w:t>18</w:t>
      </w:r>
      <w:r>
        <w:rPr>
          <w:rFonts w:hint="eastAsia"/>
        </w:rPr>
        <w:t>　</w:t>
      </w:r>
      <w:r>
        <w:rPr>
          <w:rFonts w:hint="eastAsia"/>
        </w:rPr>
        <w:t>10kW</w:t>
      </w:r>
      <w:r>
        <w:rPr>
          <w:rFonts w:hint="eastAsia"/>
        </w:rPr>
        <w:t>以上の設備の場合、廃棄等費用について「廃棄等費用積立ガイドライン」（資源エネルギー庁）を参考に必要経費を算定し、積立計画を策定・実施、発電事業終了時に適切な廃棄・リサイクルを実施すること。</w:t>
      </w:r>
    </w:p>
    <w:p>
      <w:pPr>
        <w:pStyle w:val="0"/>
        <w:ind w:left="234" w:hanging="234" w:hangingChars="97"/>
        <w:rPr>
          <w:rFonts w:hint="default"/>
        </w:rPr>
      </w:pPr>
      <w:r>
        <w:rPr>
          <w:rFonts w:hint="eastAsia"/>
        </w:rPr>
        <w:t>19</w:t>
      </w:r>
      <w:r>
        <w:rPr>
          <w:rFonts w:hint="eastAsia"/>
        </w:rPr>
        <w:t>　</w:t>
      </w:r>
      <w:r>
        <w:rPr>
          <w:rFonts w:hint="eastAsia"/>
        </w:rPr>
        <w:t>10kW</w:t>
      </w:r>
      <w:r>
        <w:rPr>
          <w:rFonts w:hint="eastAsia"/>
        </w:rPr>
        <w:t>以上の太陽光発電設備の場合、災害等による撤去及び処分に備えた火災保険や地震保険、第三者賠償保険等に加入するよう努めること。</w:t>
      </w:r>
    </w:p>
    <w:p>
      <w:pPr>
        <w:pStyle w:val="0"/>
        <w:ind w:left="234" w:hanging="234" w:hangingChars="97"/>
        <w:rPr>
          <w:rFonts w:hint="default"/>
        </w:rPr>
      </w:pPr>
      <w:r>
        <w:rPr>
          <w:rFonts w:hint="eastAsia"/>
        </w:rPr>
        <w:t>20</w:t>
      </w:r>
      <w:r>
        <w:rPr>
          <w:rFonts w:hint="eastAsia"/>
        </w:rPr>
        <w:t>　本事業により導入する太陽光発電設備で発電した電力のうち当該発電設備の敷地内で自家消費されないものについては、当該再エネ発電設備と春日部市内の需要家に限定し、原則市内で消費すること。ただし、発電量や需要量の変動によりやむを得ず余剰電力が生じ、春日部市内の需要家で消費できずに売電する場合は発電量の</w:t>
      </w:r>
      <w:r>
        <w:rPr>
          <w:rFonts w:hint="eastAsia"/>
        </w:rPr>
        <w:t>30</w:t>
      </w:r>
      <w:r>
        <w:rPr>
          <w:rFonts w:hint="eastAsia"/>
        </w:rPr>
        <w:t>％までとし、この売電により得られた収入を本事業で導入した設備等の維持管理・更新のための費用に充てること。</w:t>
      </w:r>
    </w:p>
    <w:p>
      <w:pPr>
        <w:pStyle w:val="0"/>
        <w:ind w:left="234" w:hanging="234" w:hangingChars="97"/>
        <w:rPr>
          <w:rFonts w:hint="default"/>
        </w:rPr>
      </w:pPr>
      <w:r>
        <w:rPr>
          <w:rFonts w:hint="eastAsia"/>
        </w:rPr>
        <w:t>21</w:t>
      </w:r>
      <w:r>
        <w:rPr>
          <w:rFonts w:hint="eastAsia"/>
        </w:rPr>
        <w:t>　市が行う地球温暖化防止に関する政策に関して、協力すること。</w:t>
      </w:r>
    </w:p>
    <w:p>
      <w:pPr>
        <w:pStyle w:val="0"/>
        <w:ind w:left="234" w:hanging="234" w:hangingChars="97"/>
        <w:rPr>
          <w:rFonts w:hint="default"/>
        </w:rPr>
      </w:pPr>
    </w:p>
    <w:p>
      <w:pPr>
        <w:pStyle w:val="0"/>
        <w:ind w:left="468" w:hanging="468" w:hangingChars="194"/>
        <w:rPr>
          <w:rFonts w:hint="default"/>
        </w:rPr>
      </w:pPr>
      <w:r>
        <w:rPr>
          <w:rFonts w:hint="eastAsia"/>
        </w:rPr>
        <w:t>（提出先）春日部市長</w:t>
      </w:r>
    </w:p>
    <w:p>
      <w:pPr>
        <w:pStyle w:val="0"/>
        <w:ind w:left="468" w:hanging="468" w:hangingChars="194"/>
        <w:rPr>
          <w:rFonts w:hint="default"/>
        </w:rPr>
      </w:pPr>
    </w:p>
    <w:p>
      <w:pPr>
        <w:pStyle w:val="0"/>
        <w:ind w:left="468" w:hanging="468" w:hangingChars="194"/>
        <w:rPr>
          <w:rFonts w:hint="default"/>
        </w:rPr>
      </w:pPr>
      <w:r>
        <w:rPr>
          <w:rFonts w:hint="eastAsia"/>
        </w:rPr>
        <w:t>　　　　　　　　　　　　　　　　　　年　　月　　日</w:t>
      </w:r>
    </w:p>
    <w:p>
      <w:pPr>
        <w:pStyle w:val="0"/>
        <w:spacing w:line="320" w:lineRule="exact"/>
        <w:rPr>
          <w:rFonts w:hint="default"/>
          <w:color w:val="000000" w:themeColor="text1"/>
        </w:rPr>
      </w:pPr>
    </w:p>
    <w:p>
      <w:pPr>
        <w:pStyle w:val="0"/>
        <w:spacing w:line="320" w:lineRule="exact"/>
        <w:rPr>
          <w:rFonts w:hint="default"/>
          <w:color w:val="000000" w:themeColor="text1"/>
        </w:rPr>
      </w:pPr>
      <w:r>
        <w:rPr>
          <w:rFonts w:hint="eastAsia"/>
          <w:spacing w:val="0"/>
          <w:w w:val="94"/>
          <w:u w:val="single" w:color="auto"/>
          <w:fitText w:val="3856" w:id="1"/>
        </w:rPr>
        <w:t>申請者（事業者）名・代表者職・氏</w:t>
      </w:r>
      <w:r>
        <w:rPr>
          <w:rFonts w:hint="eastAsia"/>
          <w:spacing w:val="15"/>
          <w:w w:val="94"/>
          <w:u w:val="single" w:color="auto"/>
          <w:fitText w:val="3856" w:id="1"/>
        </w:rPr>
        <w:t>名</w:t>
      </w:r>
      <w:r>
        <w:rPr>
          <w:rFonts w:hint="eastAsia"/>
          <w:u w:val="single" w:color="auto"/>
        </w:rPr>
        <w:t>　　　　　　　　　　　　　</w:t>
      </w:r>
    </w:p>
    <w:p>
      <w:pPr>
        <w:pStyle w:val="0"/>
        <w:spacing w:line="320" w:lineRule="exact"/>
        <w:rPr>
          <w:rFonts w:hint="default"/>
          <w:color w:val="000000" w:themeColor="text1"/>
        </w:rPr>
      </w:pPr>
    </w:p>
    <w:p>
      <w:pPr>
        <w:pStyle w:val="0"/>
        <w:spacing w:line="320" w:lineRule="exact"/>
        <w:rPr>
          <w:rFonts w:hint="default"/>
          <w:color w:val="000000"/>
        </w:rPr>
      </w:pPr>
      <w:r>
        <w:rPr>
          <w:rFonts w:hint="eastAsia"/>
          <w:color w:val="000000" w:themeColor="text1"/>
          <w:spacing w:val="1"/>
          <w:w w:val="84"/>
          <w:u w:val="single" w:color="000000" w:themeColor="text1"/>
          <w:fitText w:val="3856" w:id="2"/>
        </w:rPr>
        <w:t>共同申請者（事業者）名</w:t>
      </w:r>
      <w:r>
        <w:rPr>
          <w:rFonts w:hint="eastAsia"/>
          <w:spacing w:val="1"/>
          <w:w w:val="84"/>
          <w:u w:val="single" w:color="auto"/>
          <w:fitText w:val="3856" w:id="2"/>
        </w:rPr>
        <w:t>・代表者職・氏</w:t>
      </w:r>
      <w:r>
        <w:rPr>
          <w:rFonts w:hint="eastAsia"/>
          <w:spacing w:val="3"/>
          <w:w w:val="84"/>
          <w:u w:val="single" w:color="auto"/>
          <w:fitText w:val="3856" w:id="2"/>
        </w:rPr>
        <w:t>名</w:t>
      </w:r>
      <w:r>
        <w:rPr>
          <w:rFonts w:hint="eastAsia"/>
          <w:color w:val="000000" w:themeColor="text1"/>
          <w:u w:val="single" w:color="000000" w:themeColor="text1"/>
        </w:rPr>
        <w:t>　　　　　　　　　　　　　</w:t>
      </w:r>
    </w:p>
    <w:sectPr>
      <w:footerReference r:id="rId6" w:type="even"/>
      <w:footerReference r:id="rId7" w:type="default"/>
      <w:footerReference r:id="rId5" w:type="first"/>
      <w:pgSz w:w="11906" w:h="16838"/>
      <w:pgMar w:top="998" w:right="998" w:bottom="998" w:left="998" w:header="851" w:footer="680" w:gutter="0"/>
      <w:pgNumType w:start="1"/>
      <w:cols w:space="720"/>
      <w:textDirection w:val="lrTb"/>
      <w:docGrid w:type="linesAndChars" w:linePitch="436" w:charSpace="20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BIZ UDP明朝 Medium">
    <w:panose1 w:val="00000000000000000000"/>
    <w:charset w:val="80"/>
    <w:family w:val="roma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MS-Mincho">
    <w:panose1 w:val="00000000000000000000"/>
    <w:charset w:val="80"/>
    <w:family w:val="auto"/>
    <w:notTrueType/>
    <w:pitch w:val="fixed"/>
    <w:sig w:usb0="00000000" w:usb1="00000000" w:usb2="00000000" w:usb3="00000000" w:csb0="00000000" w:csb1="00000000"/>
  </w:font>
  <w:font w:name="BIZ UD明朝 Medium">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 w:name="BIZ UDP明朝 Medium">
    <w:panose1 w:val="000008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Style w:val="22"/>
        <w:rFonts w:hint="default"/>
      </w:rPr>
      <w:t>16</w:t>
    </w:r>
    <w:r>
      <w:rPr>
        <w:rFonts w:hint="eastAsia"/>
      </w:rPr>
      <w:fldChar w:fldCharType="end"/>
    </w: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framePr w:wrap="around" w:hAnchor="margin" w:vAnchor="text" w:x="-4" w:y="74"/>
      <w:rPr>
        <w:rStyle w:val="22"/>
        <w:rFonts w:hint="default"/>
      </w:rPr>
    </w:pPr>
    <w:r>
      <w:rPr>
        <w:rFonts w:hint="eastAsia"/>
      </w:rPr>
      <w:fldChar w:fldCharType="begin"/>
    </w:r>
    <w:r>
      <w:rPr>
        <w:rFonts w:hint="eastAsia"/>
      </w:rPr>
      <w:instrText xml:space="preserve">PAGE  \* MERGEFORMAT </w:instrText>
    </w:r>
    <w:r>
      <w:rPr>
        <w:rFonts w:hint="eastAsia"/>
      </w:rPr>
      <w:fldChar w:fldCharType="separate"/>
    </w:r>
    <w:r>
      <w:rPr>
        <w:rStyle w:val="22"/>
        <w:rFonts w:hint="default"/>
      </w:rPr>
      <w:t>17</w:t>
    </w:r>
    <w:r>
      <w:rPr>
        <w:rFonts w:hint="eastAsia"/>
      </w:rPr>
      <w:fldChar w:fldCharType="end"/>
    </w:r>
  </w:p>
  <w:p>
    <w:pPr>
      <w:pStyle w:val="18"/>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jc w:val="center"/>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0"/>
  <w:bordersDoNotSurroundHeader/>
  <w:bordersDoNotSurroundFooter/>
  <w:doNotTrackMoves/>
  <w:documentProtection w:edit="readOnly" w:enforcement="0"/>
  <w:defaultTabStop w:val="851"/>
  <w:defaultTableStyle w:val="58"/>
  <w:drawingGridHorizontalSpacing w:val="240"/>
  <w:drawingGridVerticalSpacing w:val="218"/>
  <w:displayVerticalDrawingGridEvery w:val="2"/>
  <w:noPunctuationKerning/>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明朝" w:hAnsi="ＭＳ 明朝"/>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Date"/>
    <w:basedOn w:val="0"/>
    <w:next w:val="0"/>
    <w:link w:val="0"/>
    <w:uiPriority w:val="0"/>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next w:val="17"/>
    <w:link w:val="16"/>
    <w:uiPriority w:val="0"/>
    <w:rPr>
      <w:rFonts w:ascii="ＭＳ 明朝" w:hAnsi="ＭＳ 明朝"/>
      <w:sz w:val="24"/>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next w:val="19"/>
    <w:link w:val="18"/>
    <w:uiPriority w:val="0"/>
    <w:rPr>
      <w:rFonts w:ascii="ＭＳ 明朝" w:hAnsi="ＭＳ 明朝"/>
      <w:sz w:val="24"/>
    </w:rPr>
  </w:style>
  <w:style w:type="paragraph" w:styleId="20">
    <w:name w:val="Body Text Indent"/>
    <w:basedOn w:val="0"/>
    <w:next w:val="20"/>
    <w:link w:val="0"/>
    <w:uiPriority w:val="0"/>
    <w:pPr>
      <w:ind w:left="180" w:hanging="180"/>
    </w:pPr>
  </w:style>
  <w:style w:type="paragraph" w:styleId="21">
    <w:name w:val="Body Text"/>
    <w:basedOn w:val="0"/>
    <w:next w:val="21"/>
    <w:link w:val="0"/>
    <w:uiPriority w:val="0"/>
    <w:pPr>
      <w:jc w:val="center"/>
    </w:pPr>
    <w:rPr>
      <w:sz w:val="32"/>
    </w:rPr>
  </w:style>
  <w:style w:type="character" w:styleId="22">
    <w:name w:val="page number"/>
    <w:basedOn w:val="10"/>
    <w:next w:val="22"/>
    <w:link w:val="0"/>
    <w:uiPriority w:val="0"/>
  </w:style>
  <w:style w:type="character" w:styleId="23">
    <w:name w:val="Hyperlink"/>
    <w:next w:val="23"/>
    <w:link w:val="0"/>
    <w:uiPriority w:val="0"/>
    <w:rPr>
      <w:color w:val="0000FF"/>
      <w:u w:val="single" w:color="auto"/>
    </w:rPr>
  </w:style>
  <w:style w:type="paragraph" w:styleId="24">
    <w:name w:val="Body Text Indent 2"/>
    <w:basedOn w:val="0"/>
    <w:next w:val="24"/>
    <w:link w:val="0"/>
    <w:uiPriority w:val="0"/>
    <w:pPr>
      <w:ind w:left="962" w:leftChars="355" w:firstLine="390" w:firstLineChars="144"/>
    </w:pPr>
  </w:style>
  <w:style w:type="paragraph" w:styleId="25">
    <w:name w:val="Block Text"/>
    <w:basedOn w:val="0"/>
    <w:next w:val="25"/>
    <w:link w:val="0"/>
    <w:uiPriority w:val="0"/>
    <w:pPr>
      <w:autoSpaceDE w:val="0"/>
      <w:autoSpaceDN w:val="0"/>
      <w:adjustRightInd w:val="0"/>
      <w:ind w:left="220" w:right="2" w:rightChars="1" w:hanging="220"/>
      <w:jc w:val="left"/>
    </w:pPr>
    <w:rPr>
      <w:color w:val="000000"/>
    </w:rPr>
  </w:style>
  <w:style w:type="paragraph" w:styleId="26">
    <w:name w:val="Body Text Indent 3"/>
    <w:basedOn w:val="0"/>
    <w:next w:val="26"/>
    <w:link w:val="0"/>
    <w:uiPriority w:val="0"/>
    <w:pPr>
      <w:ind w:left="1386" w:hanging="1386" w:hangingChars="511"/>
    </w:pPr>
    <w:rPr>
      <w:b w:val="1"/>
    </w:rPr>
  </w:style>
  <w:style w:type="paragraph" w:styleId="27">
    <w:name w:val="Balloon Text"/>
    <w:basedOn w:val="0"/>
    <w:next w:val="27"/>
    <w:link w:val="28"/>
    <w:uiPriority w:val="0"/>
    <w:semiHidden/>
    <w:rPr>
      <w:rFonts w:ascii="Arial" w:hAnsi="Arial" w:eastAsia="ＭＳ ゴシック"/>
      <w:sz w:val="18"/>
    </w:rPr>
  </w:style>
  <w:style w:type="character" w:styleId="28" w:customStyle="1">
    <w:name w:val="吹き出し (文字)"/>
    <w:next w:val="28"/>
    <w:link w:val="27"/>
    <w:uiPriority w:val="0"/>
    <w:rPr>
      <w:rFonts w:ascii="Arial" w:hAnsi="Arial" w:eastAsia="ＭＳ ゴシック"/>
      <w:sz w:val="18"/>
    </w:rPr>
  </w:style>
  <w:style w:type="paragraph" w:styleId="29">
    <w:name w:val="annotation text"/>
    <w:basedOn w:val="0"/>
    <w:next w:val="29"/>
    <w:link w:val="30"/>
    <w:uiPriority w:val="0"/>
    <w:semiHidden/>
    <w:pPr>
      <w:jc w:val="left"/>
    </w:pPr>
    <w:rPr>
      <w:rFonts w:ascii="Century" w:hAnsi="Century"/>
      <w:kern w:val="2"/>
      <w:sz w:val="21"/>
    </w:rPr>
  </w:style>
  <w:style w:type="character" w:styleId="30" w:customStyle="1">
    <w:name w:val="コメント文字列 (文字)"/>
    <w:next w:val="30"/>
    <w:link w:val="29"/>
    <w:uiPriority w:val="0"/>
    <w:rPr>
      <w:rFonts w:ascii="Century" w:hAnsi="Century" w:eastAsia="ＭＳ 明朝"/>
      <w:kern w:val="2"/>
      <w:sz w:val="21"/>
    </w:rPr>
  </w:style>
  <w:style w:type="character" w:styleId="31" w:customStyle="1">
    <w:name w:val="コメント内容 (文字)"/>
    <w:next w:val="31"/>
    <w:link w:val="32"/>
    <w:uiPriority w:val="0"/>
    <w:rPr>
      <w:rFonts w:ascii="Century" w:hAnsi="Century" w:eastAsia="ＭＳ 明朝"/>
      <w:b w:val="1"/>
      <w:kern w:val="2"/>
      <w:sz w:val="21"/>
    </w:rPr>
  </w:style>
  <w:style w:type="paragraph" w:styleId="32">
    <w:name w:val="annotation subject"/>
    <w:basedOn w:val="29"/>
    <w:next w:val="29"/>
    <w:link w:val="31"/>
    <w:uiPriority w:val="0"/>
    <w:semiHidden/>
    <w:rPr>
      <w:b w:val="1"/>
    </w:rPr>
  </w:style>
  <w:style w:type="character" w:styleId="33" w:customStyle="1">
    <w:name w:val="脚注文字列 (文字)"/>
    <w:next w:val="33"/>
    <w:link w:val="34"/>
    <w:uiPriority w:val="0"/>
    <w:rPr>
      <w:rFonts w:ascii="Century" w:hAnsi="Century" w:eastAsia="ＭＳ 明朝"/>
      <w:kern w:val="2"/>
      <w:sz w:val="21"/>
    </w:rPr>
  </w:style>
  <w:style w:type="paragraph" w:styleId="34">
    <w:name w:val="footnote text"/>
    <w:basedOn w:val="0"/>
    <w:next w:val="34"/>
    <w:link w:val="33"/>
    <w:uiPriority w:val="0"/>
    <w:semiHidden/>
    <w:pPr>
      <w:snapToGrid w:val="0"/>
      <w:jc w:val="left"/>
    </w:pPr>
    <w:rPr>
      <w:rFonts w:ascii="Century" w:hAnsi="Century"/>
      <w:kern w:val="2"/>
      <w:sz w:val="21"/>
    </w:rPr>
  </w:style>
  <w:style w:type="paragraph" w:styleId="35">
    <w:name w:val="List Paragraph"/>
    <w:basedOn w:val="0"/>
    <w:next w:val="35"/>
    <w:link w:val="0"/>
    <w:uiPriority w:val="0"/>
    <w:qFormat/>
    <w:pPr>
      <w:ind w:left="840" w:leftChars="400"/>
    </w:pPr>
    <w:rPr>
      <w:rFonts w:ascii="Century" w:hAnsi="Century"/>
      <w:kern w:val="2"/>
      <w:sz w:val="21"/>
    </w:rPr>
  </w:style>
  <w:style w:type="paragraph" w:styleId="36" w:customStyle="1">
    <w:name w:val="ﾋﾞｼﾞﾈｽ書院"/>
    <w:next w:val="36"/>
    <w:link w:val="0"/>
    <w:uiPriority w:val="0"/>
    <w:pPr>
      <w:widowControl w:val="0"/>
      <w:wordWrap w:val="0"/>
      <w:autoSpaceDE w:val="0"/>
      <w:autoSpaceDN w:val="0"/>
      <w:adjustRightInd w:val="0"/>
      <w:spacing w:line="295" w:lineRule="exact"/>
      <w:jc w:val="both"/>
    </w:pPr>
    <w:rPr>
      <w:rFonts w:ascii="ＭＳ 明朝" w:hAnsi="ＭＳ 明朝"/>
      <w:spacing w:val="3"/>
      <w:sz w:val="24"/>
    </w:rPr>
  </w:style>
  <w:style w:type="character" w:styleId="37" w:customStyle="1">
    <w:name w:val="c_ff0000"/>
    <w:next w:val="37"/>
    <w:link w:val="0"/>
    <w:uiPriority w:val="0"/>
    <w:rPr>
      <w:shd w:val="clear" w:color="auto" w:fill="FFFF99"/>
    </w:rPr>
  </w:style>
  <w:style w:type="character" w:styleId="38" w:customStyle="1">
    <w:name w:val="c_00aa00"/>
    <w:next w:val="38"/>
    <w:link w:val="0"/>
    <w:uiPriority w:val="0"/>
    <w:rPr>
      <w:shd w:val="clear" w:color="auto" w:fill="B9FFFF"/>
    </w:rPr>
  </w:style>
  <w:style w:type="character" w:styleId="39" w:customStyle="1">
    <w:name w:val="c_0000ff"/>
    <w:next w:val="39"/>
    <w:link w:val="0"/>
    <w:uiPriority w:val="0"/>
    <w:rPr>
      <w:shd w:val="clear" w:color="auto" w:fill="FDB9FD"/>
    </w:rPr>
  </w:style>
  <w:style w:type="paragraph" w:styleId="40" w:customStyle="1">
    <w:name w:val="Default"/>
    <w:next w:val="40"/>
    <w:link w:val="0"/>
    <w:uiPriority w:val="0"/>
    <w:pPr>
      <w:widowControl w:val="0"/>
      <w:autoSpaceDE w:val="0"/>
      <w:autoSpaceDN w:val="0"/>
      <w:adjustRightInd w:val="0"/>
    </w:pPr>
    <w:rPr>
      <w:rFonts w:ascii="ＭＳ 明朝" w:hAnsi="ＭＳ 明朝"/>
      <w:color w:val="000000"/>
      <w:sz w:val="24"/>
    </w:rPr>
  </w:style>
  <w:style w:type="paragraph" w:styleId="41">
    <w:name w:val="endnote text"/>
    <w:basedOn w:val="0"/>
    <w:next w:val="41"/>
    <w:link w:val="42"/>
    <w:uiPriority w:val="0"/>
    <w:semiHidden/>
    <w:pPr>
      <w:snapToGrid w:val="0"/>
      <w:jc w:val="left"/>
    </w:pPr>
  </w:style>
  <w:style w:type="character" w:styleId="42" w:customStyle="1">
    <w:name w:val="文末脚注文字列 (文字)"/>
    <w:next w:val="42"/>
    <w:link w:val="41"/>
    <w:uiPriority w:val="0"/>
    <w:rPr>
      <w:rFonts w:ascii="ＭＳ 明朝" w:hAnsi="ＭＳ 明朝"/>
      <w:sz w:val="24"/>
    </w:rPr>
  </w:style>
  <w:style w:type="character" w:styleId="43">
    <w:name w:val="endnote reference"/>
    <w:next w:val="43"/>
    <w:link w:val="0"/>
    <w:uiPriority w:val="0"/>
    <w:semiHidden/>
    <w:rPr>
      <w:vertAlign w:val="superscript"/>
    </w:rPr>
  </w:style>
  <w:style w:type="paragraph" w:styleId="44">
    <w:name w:val="No Spacing"/>
    <w:next w:val="44"/>
    <w:link w:val="0"/>
    <w:uiPriority w:val="0"/>
    <w:qFormat/>
    <w:pPr>
      <w:widowControl w:val="0"/>
      <w:jc w:val="both"/>
    </w:pPr>
    <w:rPr>
      <w:kern w:val="2"/>
      <w:sz w:val="21"/>
    </w:rPr>
  </w:style>
  <w:style w:type="paragraph" w:styleId="45">
    <w:name w:val="Note Heading"/>
    <w:basedOn w:val="0"/>
    <w:next w:val="0"/>
    <w:link w:val="46"/>
    <w:uiPriority w:val="0"/>
    <w:pPr>
      <w:jc w:val="center"/>
    </w:pPr>
    <w:rPr>
      <w:shd w:val="clear" w:color="auto" w:fill="FFFFFF"/>
    </w:rPr>
  </w:style>
  <w:style w:type="character" w:styleId="46" w:customStyle="1">
    <w:name w:val="記 (文字)"/>
    <w:next w:val="46"/>
    <w:link w:val="45"/>
    <w:uiPriority w:val="0"/>
    <w:rPr>
      <w:rFonts w:ascii="ＭＳ 明朝" w:hAnsi="ＭＳ 明朝"/>
      <w:sz w:val="24"/>
    </w:rPr>
  </w:style>
  <w:style w:type="paragraph" w:styleId="47">
    <w:name w:val="Closing"/>
    <w:basedOn w:val="0"/>
    <w:next w:val="47"/>
    <w:link w:val="48"/>
    <w:uiPriority w:val="0"/>
    <w:pPr>
      <w:jc w:val="right"/>
    </w:pPr>
    <w:rPr>
      <w:shd w:val="clear" w:color="auto" w:fill="FFFFFF"/>
    </w:rPr>
  </w:style>
  <w:style w:type="character" w:styleId="48" w:customStyle="1">
    <w:name w:val="結語 (文字)"/>
    <w:next w:val="48"/>
    <w:link w:val="47"/>
    <w:uiPriority w:val="0"/>
    <w:rPr>
      <w:rFonts w:ascii="ＭＳ 明朝" w:hAnsi="ＭＳ 明朝"/>
      <w:sz w:val="24"/>
    </w:rPr>
  </w:style>
  <w:style w:type="character" w:styleId="49" w:customStyle="1">
    <w:name w:val="txt_red1"/>
    <w:next w:val="49"/>
    <w:link w:val="0"/>
    <w:uiPriority w:val="0"/>
    <w:rPr>
      <w:color w:val="CC0000"/>
    </w:rPr>
  </w:style>
  <w:style w:type="character" w:styleId="50">
    <w:name w:val="annotation reference"/>
    <w:next w:val="50"/>
    <w:link w:val="0"/>
    <w:uiPriority w:val="0"/>
    <w:semiHidden/>
    <w:rPr>
      <w:sz w:val="18"/>
    </w:rPr>
  </w:style>
  <w:style w:type="paragraph" w:styleId="51">
    <w:name w:val="Revision"/>
    <w:next w:val="51"/>
    <w:link w:val="0"/>
    <w:uiPriority w:val="0"/>
    <w:rPr>
      <w:rFonts w:ascii="ＭＳ 明朝" w:hAnsi="ＭＳ 明朝"/>
      <w:sz w:val="24"/>
    </w:rPr>
  </w:style>
  <w:style w:type="character" w:styleId="52">
    <w:name w:val="footnote reference"/>
    <w:next w:val="52"/>
    <w:link w:val="0"/>
    <w:uiPriority w:val="0"/>
    <w:semiHidden/>
    <w:rPr>
      <w:vertAlign w:val="superscript"/>
    </w:rPr>
  </w:style>
  <w:style w:type="character" w:styleId="53" w:customStyle="1">
    <w:name w:val="font11"/>
    <w:basedOn w:val="10"/>
    <w:next w:val="53"/>
    <w:link w:val="0"/>
    <w:uiPriority w:val="0"/>
    <w:qFormat/>
    <w:rPr>
      <w:rFonts w:ascii="BIZ UDP明朝 Medium" w:hAnsi="BIZ UDP明朝 Medium" w:eastAsia="BIZ UDP明朝 Medium"/>
      <w:b w:val="1"/>
      <w:sz w:val="28"/>
    </w:rPr>
  </w:style>
  <w:style w:type="character" w:styleId="54" w:customStyle="1">
    <w:name w:val="font12"/>
    <w:basedOn w:val="10"/>
    <w:next w:val="54"/>
    <w:link w:val="0"/>
    <w:uiPriority w:val="0"/>
    <w:qFormat/>
    <w:rPr>
      <w:rFonts w:ascii="BIZ UDP明朝 Medium" w:hAnsi="BIZ UDP明朝 Medium" w:eastAsia="BIZ UDP明朝 Medium"/>
      <w:b w:val="1"/>
      <w:sz w:val="24"/>
    </w:rPr>
  </w:style>
  <w:style w:type="character" w:styleId="55" w:customStyle="1">
    <w:name w:val="font15"/>
    <w:basedOn w:val="10"/>
    <w:next w:val="55"/>
    <w:link w:val="0"/>
    <w:uiPriority w:val="0"/>
    <w:qFormat/>
    <w:rPr>
      <w:rFonts w:ascii="BIZ UDP明朝 Medium" w:hAnsi="BIZ UDP明朝 Medium" w:eastAsia="BIZ UDP明朝 Medium"/>
      <w:b w:val="1"/>
      <w:sz w:val="28"/>
    </w:rPr>
  </w:style>
  <w:style w:type="table" w:styleId="56">
    <w:name w:val="Table Grid"/>
    <w:basedOn w:val="11"/>
    <w:next w:val="56"/>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57" w:customStyle="1">
    <w:name w:val="表 (格子)1"/>
    <w:basedOn w:val="11"/>
    <w:next w:val="57"/>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58" w:customStyle="1">
    <w:name w:val="表（シンプル 1）"/>
    <w:basedOn w:val="11"/>
    <w:next w:val="5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887</TotalTime>
  <Pages>2</Pages>
  <Words>25</Words>
  <Characters>1820</Characters>
  <Application>JUST Note</Application>
  <Lines>66</Lines>
  <Paragraphs>32</Paragraphs>
  <CharactersWithSpaces>1907</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森 亮</cp:lastModifiedBy>
  <cp:lastPrinted>2026-03-05T06:49:16Z</cp:lastPrinted>
  <dcterms:modified xsi:type="dcterms:W3CDTF">2026-10-15T00:51:14Z</dcterms:modified>
  <cp:revision>47</cp:revision>
</cp:coreProperties>
</file>